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C61A7">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方正小标宋_GBK"/>
          <w:lang w:val="en-US" w:eastAsia="zh-CN"/>
        </w:rPr>
      </w:pPr>
    </w:p>
    <w:p w14:paraId="5C9BDDB9">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lang w:val="en-US" w:eastAsia="zh-Hans"/>
        </w:rPr>
      </w:pPr>
      <w:r>
        <w:rPr>
          <w:rFonts w:hint="eastAsia" w:cs="方正小标宋_GBK"/>
          <w:lang w:val="en-US" w:eastAsia="zh-CN"/>
        </w:rPr>
        <w:t>企业</w:t>
      </w:r>
      <w:r>
        <w:rPr>
          <w:rFonts w:hint="eastAsia" w:ascii="方正小标宋_GBK" w:hAnsi="方正小标宋_GBK" w:eastAsia="方正小标宋_GBK" w:cs="方正小标宋_GBK"/>
          <w:lang w:val="en-US" w:eastAsia="zh-Hans"/>
        </w:rPr>
        <w:t>申报填写说明</w:t>
      </w:r>
    </w:p>
    <w:p w14:paraId="250FB0C0">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lang w:eastAsia="zh-CN"/>
        </w:rPr>
      </w:pPr>
    </w:p>
    <w:p w14:paraId="48A162AF">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pPr>
      <w:r>
        <w:rPr>
          <w:rFonts w:hint="eastAsia"/>
          <w:lang w:eastAsia="zh-CN"/>
        </w:rPr>
        <w:t>本申报表由企业自行填报，所填报的信息数据为公示年度内的信息数据。请认真阅读《承诺书》相关内容，由法定代表人签字，并加盖企业公章。</w:t>
      </w:r>
    </w:p>
    <w:p w14:paraId="36AE51DB">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lang w:eastAsia="zh-CN"/>
        </w:rPr>
      </w:pPr>
    </w:p>
    <w:p w14:paraId="0BA8A0ED">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lang w:eastAsia="zh-CN"/>
        </w:rPr>
      </w:pPr>
      <w:r>
        <w:rPr>
          <w:rFonts w:hint="eastAsia"/>
          <w:lang w:eastAsia="zh-CN"/>
        </w:rPr>
        <w:t>一、企业基本信息</w:t>
      </w:r>
    </w:p>
    <w:p w14:paraId="6BD99919">
      <w:pPr>
        <w:widowControl w:val="0"/>
        <w:spacing w:line="600" w:lineRule="exact"/>
        <w:ind w:firstLine="706" w:firstLineChars="200"/>
        <w:rPr>
          <w:rFonts w:hint="eastAsia" w:ascii="方正仿宋_GBK" w:hAnsi="方正仿宋_GBK" w:eastAsia="方正仿宋_GBK" w:cs="方正仿宋_GBK"/>
          <w:color w:val="auto"/>
          <w:kern w:val="2"/>
          <w:sz w:val="32"/>
          <w:szCs w:val="32"/>
          <w:lang w:eastAsia="zh-CN"/>
        </w:rPr>
      </w:pPr>
      <w:r>
        <w:rPr>
          <w:rFonts w:hint="eastAsia" w:ascii="方正仿宋_GBK" w:hAnsi="方正仿宋_GBK" w:eastAsia="方正仿宋_GBK" w:cs="方正仿宋_GBK"/>
          <w:color w:val="auto"/>
          <w:kern w:val="2"/>
          <w:sz w:val="32"/>
          <w:szCs w:val="32"/>
        </w:rPr>
        <w:t>1.</w:t>
      </w:r>
      <w:r>
        <w:rPr>
          <w:rFonts w:hint="eastAsia" w:cs="方正仿宋_GBK"/>
          <w:color w:val="auto"/>
          <w:kern w:val="2"/>
          <w:sz w:val="32"/>
          <w:szCs w:val="32"/>
          <w:lang w:eastAsia="zh-CN"/>
        </w:rPr>
        <w:t>请按照企业法人营业执照的内容填写。</w:t>
      </w:r>
    </w:p>
    <w:p w14:paraId="19BEF07A">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rPr>
        <w:t>2.</w:t>
      </w:r>
      <w:r>
        <w:rPr>
          <w:rFonts w:hint="eastAsia" w:ascii="方正仿宋_GBK" w:hAnsi="方正仿宋_GBK" w:eastAsia="方正仿宋_GBK" w:cs="方正仿宋_GBK"/>
          <w:lang w:val="en-US" w:eastAsia="zh-CN"/>
        </w:rPr>
        <w:t>企业划型（大、中、小、微型）：参见工信部联企业〔2011〕300号和国统字〔2017〕213号文件。</w:t>
      </w:r>
    </w:p>
    <w:p w14:paraId="0BC10464">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lang w:eastAsia="zh-CN"/>
        </w:rPr>
      </w:pPr>
      <w:r>
        <w:rPr>
          <w:rFonts w:hint="eastAsia"/>
          <w:lang w:eastAsia="zh-CN"/>
        </w:rPr>
        <w:t>二、品牌和经营管理</w:t>
      </w:r>
    </w:p>
    <w:p w14:paraId="39A9C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1.年末资产总额、年营业收入：根据公示年度内的财务报表填写。</w:t>
      </w:r>
    </w:p>
    <w:p w14:paraId="2D8A36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2.认证情况：填写目前仍有效的认证，包括质量、环保、产品、服务及其他认证等，并提供相关佐证材料。</w:t>
      </w:r>
    </w:p>
    <w:p w14:paraId="787F78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3.知识产权：指尚在有效期内的各类知识产权，填写专利权、著作权、注册商标数量，商标是否是驰名商标，并提供相关佐证材料。</w:t>
      </w:r>
    </w:p>
    <w:p w14:paraId="24F109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lang w:val="en-US" w:eastAsia="zh-CN"/>
        </w:rPr>
        <w:t>4.经营资质：</w:t>
      </w:r>
      <w:r>
        <w:rPr>
          <w:rFonts w:hint="eastAsia" w:ascii="方正仿宋_GBK" w:hAnsi="方正仿宋_GBK" w:eastAsia="方正仿宋_GBK" w:cs="方正仿宋_GBK"/>
          <w:color w:val="auto"/>
          <w:kern w:val="2"/>
          <w:sz w:val="32"/>
          <w:szCs w:val="32"/>
        </w:rPr>
        <w:t>根据</w:t>
      </w:r>
      <w:r>
        <w:rPr>
          <w:rFonts w:hint="eastAsia" w:ascii="方正仿宋_GBK" w:hAnsi="方正仿宋_GBK" w:eastAsia="方正仿宋_GBK" w:cs="方正仿宋_GBK"/>
          <w:color w:val="auto"/>
          <w:kern w:val="2"/>
          <w:sz w:val="32"/>
          <w:szCs w:val="32"/>
          <w:lang w:eastAsia="zh-CN"/>
        </w:rPr>
        <w:t>企业</w:t>
      </w:r>
      <w:r>
        <w:rPr>
          <w:rFonts w:hint="eastAsia" w:ascii="方正仿宋_GBK" w:hAnsi="方正仿宋_GBK" w:eastAsia="方正仿宋_GBK" w:cs="方正仿宋_GBK"/>
          <w:color w:val="auto"/>
          <w:kern w:val="2"/>
          <w:sz w:val="32"/>
          <w:szCs w:val="32"/>
        </w:rPr>
        <w:t>所处行业有无特许资质和许可证、企业是否取得特许资质和许可证</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企业所处行业是否有经营资质等级</w:t>
      </w:r>
      <w:r>
        <w:rPr>
          <w:rFonts w:hint="eastAsia" w:ascii="方正仿宋_GBK" w:hAnsi="方正仿宋_GBK" w:eastAsia="方正仿宋_GBK" w:cs="方正仿宋_GBK"/>
          <w:color w:val="auto"/>
          <w:kern w:val="2"/>
          <w:sz w:val="32"/>
          <w:szCs w:val="32"/>
          <w:lang w:eastAsia="zh-CN"/>
        </w:rPr>
        <w:t>、企业获得资质等级情况</w:t>
      </w:r>
      <w:r>
        <w:rPr>
          <w:rFonts w:hint="eastAsia" w:ascii="方正仿宋_GBK" w:hAnsi="方正仿宋_GBK" w:eastAsia="方正仿宋_GBK" w:cs="方正仿宋_GBK"/>
          <w:color w:val="auto"/>
          <w:kern w:val="2"/>
          <w:sz w:val="32"/>
          <w:szCs w:val="32"/>
        </w:rPr>
        <w:t>依次勾选</w:t>
      </w:r>
      <w:r>
        <w:rPr>
          <w:rFonts w:hint="eastAsia" w:ascii="方正仿宋_GBK" w:hAnsi="方正仿宋_GBK" w:eastAsia="方正仿宋_GBK" w:cs="方正仿宋_GBK"/>
          <w:color w:val="auto"/>
          <w:kern w:val="2"/>
          <w:sz w:val="32"/>
          <w:szCs w:val="32"/>
          <w:lang w:eastAsia="zh-CN"/>
        </w:rPr>
        <w:t>，并提供相关佐证材料</w:t>
      </w:r>
      <w:r>
        <w:rPr>
          <w:rFonts w:hint="eastAsia" w:ascii="方正仿宋_GBK" w:hAnsi="方正仿宋_GBK" w:eastAsia="方正仿宋_GBK" w:cs="方正仿宋_GBK"/>
          <w:color w:val="auto"/>
          <w:kern w:val="2"/>
          <w:sz w:val="32"/>
          <w:szCs w:val="32"/>
        </w:rPr>
        <w:t>。</w:t>
      </w:r>
    </w:p>
    <w:p w14:paraId="6C40C9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kern w:val="0"/>
          <w:sz w:val="32"/>
          <w:szCs w:val="32"/>
          <w:highlight w:val="none"/>
        </w:rPr>
      </w:pPr>
      <w:r>
        <w:rPr>
          <w:rFonts w:hint="eastAsia" w:ascii="方正黑体_GBK" w:hAnsi="方正黑体_GBK" w:eastAsia="方正黑体_GBK" w:cs="方正黑体_GBK"/>
          <w:color w:val="auto"/>
          <w:kern w:val="2"/>
          <w:sz w:val="32"/>
          <w:szCs w:val="32"/>
          <w:lang w:val="en-US" w:eastAsia="zh-CN"/>
        </w:rPr>
        <w:t>三、</w:t>
      </w:r>
      <w:r>
        <w:rPr>
          <w:rFonts w:hint="eastAsia" w:ascii="方正黑体_GBK" w:hAnsi="方正黑体_GBK" w:eastAsia="方正黑体_GBK" w:cs="方正黑体_GBK"/>
          <w:kern w:val="0"/>
          <w:sz w:val="32"/>
          <w:szCs w:val="32"/>
          <w:highlight w:val="none"/>
        </w:rPr>
        <w:t>合同信用管理状况</w:t>
      </w:r>
    </w:p>
    <w:p w14:paraId="06F2FAD0">
      <w:pPr>
        <w:pStyle w:val="23"/>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书面合同签约率</w:t>
      </w:r>
    </w:p>
    <w:p w14:paraId="4EEF9C4D">
      <w:pPr>
        <w:pStyle w:val="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b/>
          <w:bCs/>
        </w:rPr>
        <w:t>收入性合同书面签约率：</w:t>
      </w:r>
      <w:r>
        <w:t>当年签订的收入性合同书面签约率。计算方法:</w:t>
      </w:r>
      <w:r>
        <w:rPr>
          <w:rFonts w:hint="eastAsia"/>
        </w:rPr>
        <w:drawing>
          <wp:inline distT="0" distB="0" distL="114300" distR="114300">
            <wp:extent cx="520700" cy="283210"/>
            <wp:effectExtent l="0" t="0" r="12700" b="2540"/>
            <wp:docPr id="5" name="图片 5" descr="1705977756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05977756859"/>
                    <pic:cNvPicPr>
                      <a:picLocks noChangeAspect="1"/>
                    </pic:cNvPicPr>
                  </pic:nvPicPr>
                  <pic:blipFill>
                    <a:blip r:embed="rId12"/>
                    <a:stretch>
                      <a:fillRect/>
                    </a:stretch>
                  </pic:blipFill>
                  <pic:spPr>
                    <a:xfrm>
                      <a:off x="0" y="0"/>
                      <a:ext cx="520700" cy="283210"/>
                    </a:xfrm>
                    <a:prstGeom prst="rect">
                      <a:avLst/>
                    </a:prstGeom>
                  </pic:spPr>
                </pic:pic>
              </a:graphicData>
            </a:graphic>
          </wp:inline>
        </w:drawing>
      </w:r>
      <w:r>
        <w:rPr>
          <w:rFonts w:hint="eastAsia"/>
        </w:rPr>
        <w:t>（</w:t>
      </w:r>
      <w:r>
        <w:t>其</w:t>
      </w:r>
      <w:r>
        <w:rPr>
          <w:rFonts w:hint="eastAsia"/>
        </w:rPr>
        <w:t>中</w:t>
      </w:r>
      <w:r>
        <w:t>A=当年签订的收入性书面合同金</w:t>
      </w:r>
      <w:r>
        <w:rPr>
          <w:rFonts w:hint="eastAsia"/>
          <w:lang w:eastAsia="zh-CN"/>
        </w:rPr>
        <w:t>额，</w:t>
      </w:r>
      <w:r>
        <w:t>B=</w:t>
      </w:r>
      <w:r>
        <w:rPr>
          <w:rFonts w:hint="eastAsia"/>
        </w:rPr>
        <w:t>销售总额）；</w:t>
      </w:r>
    </w:p>
    <w:p w14:paraId="757503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b/>
          <w:bCs/>
        </w:rPr>
        <w:t>支出性合同书面签约率</w:t>
      </w:r>
      <w:r>
        <w:rPr>
          <w:rFonts w:hint="eastAsia"/>
          <w:b/>
          <w:bCs/>
          <w:lang w:eastAsia="zh-CN"/>
        </w:rPr>
        <w:t>：</w:t>
      </w:r>
      <w:r>
        <w:t>当年签订的支出性合同书面签约率。计算方法:</w:t>
      </w:r>
      <w:r>
        <w:rPr>
          <w:rFonts w:hint="eastAsia"/>
        </w:rPr>
        <w:drawing>
          <wp:inline distT="0" distB="0" distL="114300" distR="114300">
            <wp:extent cx="577850" cy="330200"/>
            <wp:effectExtent l="0" t="0" r="12700" b="12700"/>
            <wp:docPr id="6" name="图片 6" descr="1705977756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05977756859"/>
                    <pic:cNvPicPr>
                      <a:picLocks noChangeAspect="1"/>
                    </pic:cNvPicPr>
                  </pic:nvPicPr>
                  <pic:blipFill>
                    <a:blip r:embed="rId12"/>
                    <a:stretch>
                      <a:fillRect/>
                    </a:stretch>
                  </pic:blipFill>
                  <pic:spPr>
                    <a:xfrm>
                      <a:off x="0" y="0"/>
                      <a:ext cx="577850" cy="330200"/>
                    </a:xfrm>
                    <a:prstGeom prst="rect">
                      <a:avLst/>
                    </a:prstGeom>
                  </pic:spPr>
                </pic:pic>
              </a:graphicData>
            </a:graphic>
          </wp:inline>
        </w:drawing>
      </w:r>
      <w:r>
        <w:rPr>
          <w:rFonts w:hint="eastAsia"/>
        </w:rPr>
        <w:t>（</w:t>
      </w:r>
      <w:r>
        <w:t>其中A=当年签订的支出性书面合同金</w:t>
      </w:r>
      <w:r>
        <w:rPr>
          <w:rFonts w:hint="eastAsia"/>
          <w:lang w:eastAsia="zh-CN"/>
        </w:rPr>
        <w:t>额，</w:t>
      </w:r>
      <w:r>
        <w:t>B=</w:t>
      </w:r>
      <w:r>
        <w:rPr>
          <w:rFonts w:hint="eastAsia"/>
        </w:rPr>
        <w:t>采购总额）。</w:t>
      </w:r>
    </w:p>
    <w:p w14:paraId="61BD532F">
      <w:pPr>
        <w:pStyle w:val="2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行业是否推广使用合同示范文本</w:t>
      </w:r>
    </w:p>
    <w:p w14:paraId="4BC8C8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t>合同示范文本是指由各级行政主管部门制定、发布</w:t>
      </w:r>
      <w:r>
        <w:rPr>
          <w:rFonts w:hint="eastAsia"/>
        </w:rPr>
        <w:t>，</w:t>
      </w:r>
      <w:r>
        <w:t>或者会同有关主管部门、行业自律组织制定、发布的</w:t>
      </w:r>
      <w:r>
        <w:rPr>
          <w:rFonts w:hint="eastAsia"/>
        </w:rPr>
        <w:t>，</w:t>
      </w:r>
      <w:r>
        <w:t>供合同当事人参照使用的合同范本。行业内有无合同示范文本</w:t>
      </w:r>
      <w:r>
        <w:rPr>
          <w:rFonts w:hint="eastAsia"/>
        </w:rPr>
        <w:t>，</w:t>
      </w:r>
      <w:r>
        <w:t>指在本行业内是否有合同示范文本</w:t>
      </w:r>
      <w:r>
        <w:rPr>
          <w:rFonts w:hint="eastAsia"/>
        </w:rPr>
        <w:t>。</w:t>
      </w:r>
    </w:p>
    <w:p w14:paraId="13EE64FA">
      <w:pPr>
        <w:pStyle w:val="2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highlight w:val="none"/>
        </w:rPr>
      </w:pPr>
      <w:r>
        <w:rPr>
          <w:rFonts w:hint="eastAsia" w:ascii="方正黑体_GBK" w:hAnsi="方正黑体_GBK" w:eastAsia="方正黑体_GBK" w:cs="方正黑体_GBK"/>
          <w:kern w:val="0"/>
          <w:sz w:val="32"/>
          <w:szCs w:val="32"/>
          <w:highlight w:val="none"/>
          <w:lang w:eastAsia="zh-CN"/>
        </w:rPr>
        <w:t>四、</w:t>
      </w:r>
      <w:r>
        <w:rPr>
          <w:rFonts w:hint="eastAsia" w:ascii="方正黑体_GBK" w:hAnsi="方正黑体_GBK" w:eastAsia="方正黑体_GBK" w:cs="方正黑体_GBK"/>
          <w:kern w:val="0"/>
          <w:sz w:val="32"/>
          <w:szCs w:val="32"/>
          <w:highlight w:val="none"/>
        </w:rPr>
        <w:t>合同履约状况</w:t>
      </w:r>
    </w:p>
    <w:p w14:paraId="68D6276B">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1.</w:t>
      </w:r>
      <w:r>
        <w:rPr>
          <w:rFonts w:hint="eastAsia"/>
        </w:rPr>
        <w:t>收入性合同履约率</w:t>
      </w:r>
    </w:p>
    <w:p w14:paraId="62DCD3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当年收入性合同的实际履约率。</w:t>
      </w:r>
      <w:r>
        <w:t>指标取值</w:t>
      </w:r>
      <w:r>
        <w:rPr>
          <w:rFonts w:hint="eastAsia"/>
        </w:rPr>
        <w:t>：</w:t>
      </w:r>
      <w:r>
        <w:drawing>
          <wp:inline distT="0" distB="0" distL="114300" distR="114300">
            <wp:extent cx="867410" cy="304800"/>
            <wp:effectExtent l="0" t="0" r="8890" b="0"/>
            <wp:docPr id="7" name="图片 7" descr="1705977833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05977833092"/>
                    <pic:cNvPicPr>
                      <a:picLocks noChangeAspect="1"/>
                    </pic:cNvPicPr>
                  </pic:nvPicPr>
                  <pic:blipFill>
                    <a:blip r:embed="rId13"/>
                    <a:stretch>
                      <a:fillRect/>
                    </a:stretch>
                  </pic:blipFill>
                  <pic:spPr>
                    <a:xfrm>
                      <a:off x="0" y="0"/>
                      <a:ext cx="867410" cy="304800"/>
                    </a:xfrm>
                    <a:prstGeom prst="rect">
                      <a:avLst/>
                    </a:prstGeom>
                  </pic:spPr>
                </pic:pic>
              </a:graphicData>
            </a:graphic>
          </wp:inline>
        </w:drawing>
      </w:r>
      <w:r>
        <w:t>(其中</w:t>
      </w:r>
      <w:r>
        <w:rPr>
          <w:rFonts w:hint="eastAsia"/>
        </w:rPr>
        <w:t>，</w:t>
      </w:r>
      <w:r>
        <w:t>A=当年实际履行的收入性合同份数</w:t>
      </w:r>
      <w:r>
        <w:rPr>
          <w:rFonts w:hint="eastAsia"/>
        </w:rPr>
        <w:t>，</w:t>
      </w:r>
      <w:r>
        <w:t>B=当年应当履行收入性合同份数</w:t>
      </w:r>
      <w:r>
        <w:rPr>
          <w:rFonts w:hint="eastAsia"/>
        </w:rPr>
        <w:t>，</w:t>
      </w:r>
      <w:r>
        <w:t>C=不可抗力、对方违约份数</w:t>
      </w:r>
      <w:r>
        <w:rPr>
          <w:rFonts w:hint="eastAsia"/>
        </w:rPr>
        <w:t>，</w:t>
      </w:r>
      <w:r>
        <w:t>D=当年实际履行的收入性合同金额</w:t>
      </w:r>
      <w:r>
        <w:rPr>
          <w:rFonts w:hint="eastAsia"/>
        </w:rPr>
        <w:t>，</w:t>
      </w:r>
      <w:r>
        <w:t>E=当年应当履行收入性合同金额</w:t>
      </w:r>
      <w:r>
        <w:rPr>
          <w:rFonts w:hint="eastAsia"/>
        </w:rPr>
        <w:t>，</w:t>
      </w:r>
      <w:r>
        <w:t>F=不可抗力、对方违约金额)</w:t>
      </w:r>
      <w:r>
        <w:rPr>
          <w:rFonts w:hint="eastAsia"/>
        </w:rPr>
        <w:t>。</w:t>
      </w:r>
    </w:p>
    <w:p w14:paraId="0915685F">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2.</w:t>
      </w:r>
      <w:r>
        <w:rPr>
          <w:rFonts w:hint="eastAsia"/>
        </w:rPr>
        <w:t>支出性合同履约率</w:t>
      </w:r>
    </w:p>
    <w:p w14:paraId="2A22AEB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当年支出性合同的实际履约率。</w:t>
      </w:r>
      <w:r>
        <w:t>指标取值</w:t>
      </w:r>
      <w:r>
        <w:rPr>
          <w:rFonts w:hint="eastAsia"/>
          <w:lang w:eastAsia="zh-CN"/>
        </w:rPr>
        <w:t>：</w:t>
      </w:r>
      <w:r>
        <w:drawing>
          <wp:inline distT="0" distB="0" distL="114300" distR="114300">
            <wp:extent cx="835660" cy="322580"/>
            <wp:effectExtent l="0" t="0" r="2540" b="1270"/>
            <wp:docPr id="9" name="图片 9" descr="1705977918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05977918267"/>
                    <pic:cNvPicPr>
                      <a:picLocks noChangeAspect="1"/>
                    </pic:cNvPicPr>
                  </pic:nvPicPr>
                  <pic:blipFill>
                    <a:blip r:embed="rId14"/>
                    <a:stretch>
                      <a:fillRect/>
                    </a:stretch>
                  </pic:blipFill>
                  <pic:spPr>
                    <a:xfrm>
                      <a:off x="0" y="0"/>
                      <a:ext cx="835660" cy="322580"/>
                    </a:xfrm>
                    <a:prstGeom prst="rect">
                      <a:avLst/>
                    </a:prstGeom>
                  </pic:spPr>
                </pic:pic>
              </a:graphicData>
            </a:graphic>
          </wp:inline>
        </w:drawing>
      </w:r>
      <w:r>
        <w:t>(其中</w:t>
      </w:r>
      <w:r>
        <w:rPr>
          <w:rFonts w:hint="eastAsia"/>
        </w:rPr>
        <w:t>，</w:t>
      </w:r>
      <w:r>
        <w:t>A=当年实际履行的支出性合同份数</w:t>
      </w:r>
      <w:r>
        <w:rPr>
          <w:rFonts w:hint="eastAsia"/>
        </w:rPr>
        <w:t>，</w:t>
      </w:r>
      <w:r>
        <w:t>B=当年应当履行支出性合同份数</w:t>
      </w:r>
      <w:r>
        <w:rPr>
          <w:rFonts w:hint="eastAsia"/>
        </w:rPr>
        <w:t>，</w:t>
      </w:r>
      <w:r>
        <w:t>C=不可抗力、对方违约份数</w:t>
      </w:r>
      <w:r>
        <w:rPr>
          <w:rFonts w:hint="eastAsia"/>
        </w:rPr>
        <w:t>，</w:t>
      </w:r>
      <w:r>
        <w:t>D=当年实际履行的支出性合同金额</w:t>
      </w:r>
      <w:r>
        <w:rPr>
          <w:rFonts w:hint="eastAsia"/>
        </w:rPr>
        <w:t>，</w:t>
      </w:r>
      <w:r>
        <w:t>E=当年应当履行支出性合同金额</w:t>
      </w:r>
      <w:r>
        <w:rPr>
          <w:rFonts w:hint="eastAsia"/>
        </w:rPr>
        <w:t>，</w:t>
      </w:r>
      <w:r>
        <w:t>F=不可抗力、对方违约金额)</w:t>
      </w:r>
      <w:r>
        <w:rPr>
          <w:rFonts w:hint="eastAsia"/>
        </w:rPr>
        <w:t>。</w:t>
      </w:r>
    </w:p>
    <w:p w14:paraId="414A54EA">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3.</w:t>
      </w:r>
      <w:r>
        <w:rPr>
          <w:rFonts w:hint="eastAsia"/>
        </w:rPr>
        <w:t>期末应收款占收入性合同总额比例</w:t>
      </w:r>
    </w:p>
    <w:p w14:paraId="71A0300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期末应收款所占收入性合同总额的比例。</w:t>
      </w:r>
      <w:r>
        <w:t>指标取值</w:t>
      </w:r>
      <w:r>
        <w:rPr>
          <w:rFonts w:hint="eastAsia"/>
        </w:rPr>
        <w:t>：</w:t>
      </w:r>
      <w:r>
        <w:drawing>
          <wp:inline distT="0" distB="0" distL="114300" distR="114300">
            <wp:extent cx="628650" cy="361950"/>
            <wp:effectExtent l="0" t="0" r="0" b="0"/>
            <wp:docPr id="13" name="图片 13" descr="1705978102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05978102111"/>
                    <pic:cNvPicPr>
                      <a:picLocks noChangeAspect="1"/>
                    </pic:cNvPicPr>
                  </pic:nvPicPr>
                  <pic:blipFill>
                    <a:blip r:embed="rId15"/>
                    <a:stretch>
                      <a:fillRect/>
                    </a:stretch>
                  </pic:blipFill>
                  <pic:spPr>
                    <a:xfrm>
                      <a:off x="0" y="0"/>
                      <a:ext cx="628650" cy="361950"/>
                    </a:xfrm>
                    <a:prstGeom prst="rect">
                      <a:avLst/>
                    </a:prstGeom>
                  </pic:spPr>
                </pic:pic>
              </a:graphicData>
            </a:graphic>
          </wp:inline>
        </w:drawing>
      </w:r>
      <w:r>
        <w:t>(其中</w:t>
      </w:r>
      <w:r>
        <w:rPr>
          <w:rFonts w:hint="eastAsia"/>
        </w:rPr>
        <w:t>，</w:t>
      </w:r>
      <w:r>
        <w:t>A=期末应收款余额</w:t>
      </w:r>
      <w:r>
        <w:rPr>
          <w:rFonts w:hint="eastAsia"/>
        </w:rPr>
        <w:t>，</w:t>
      </w:r>
      <w:r>
        <w:t>B=当年应当履行的收入性合同总</w:t>
      </w:r>
      <w:r>
        <w:rPr>
          <w:rFonts w:hint="eastAsia"/>
        </w:rPr>
        <w:t>额)。</w:t>
      </w:r>
    </w:p>
    <w:p w14:paraId="22798A81">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4.</w:t>
      </w:r>
      <w:r>
        <w:rPr>
          <w:rFonts w:hint="eastAsia"/>
        </w:rPr>
        <w:t>期末应付款占支出性合同总额比例</w:t>
      </w:r>
    </w:p>
    <w:p w14:paraId="2B0865A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期末应付款所占支出性合同总额的比例。</w:t>
      </w:r>
      <w:r>
        <w:t>指标取值</w:t>
      </w:r>
      <w:r>
        <w:rPr>
          <w:rFonts w:hint="eastAsia"/>
        </w:rPr>
        <w:t>：</w:t>
      </w:r>
      <w:r>
        <w:drawing>
          <wp:inline distT="0" distB="0" distL="114300" distR="114300">
            <wp:extent cx="571500" cy="323850"/>
            <wp:effectExtent l="0" t="0" r="0" b="0"/>
            <wp:docPr id="15" name="图片 15" descr="170597826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05978265312"/>
                    <pic:cNvPicPr>
                      <a:picLocks noChangeAspect="1"/>
                    </pic:cNvPicPr>
                  </pic:nvPicPr>
                  <pic:blipFill>
                    <a:blip r:embed="rId16"/>
                    <a:stretch>
                      <a:fillRect/>
                    </a:stretch>
                  </pic:blipFill>
                  <pic:spPr>
                    <a:xfrm>
                      <a:off x="0" y="0"/>
                      <a:ext cx="571500" cy="323850"/>
                    </a:xfrm>
                    <a:prstGeom prst="rect">
                      <a:avLst/>
                    </a:prstGeom>
                  </pic:spPr>
                </pic:pic>
              </a:graphicData>
            </a:graphic>
          </wp:inline>
        </w:drawing>
      </w:r>
      <w:r>
        <w:t>(其中</w:t>
      </w:r>
      <w:r>
        <w:rPr>
          <w:rFonts w:hint="eastAsia"/>
        </w:rPr>
        <w:t>，</w:t>
      </w:r>
      <w:r>
        <w:t>A=期末应付款余额</w:t>
      </w:r>
      <w:r>
        <w:rPr>
          <w:rFonts w:hint="eastAsia"/>
        </w:rPr>
        <w:t>，</w:t>
      </w:r>
      <w:r>
        <w:t>B=当年应当履行的支出性合同总</w:t>
      </w:r>
      <w:r>
        <w:rPr>
          <w:rFonts w:hint="eastAsia"/>
        </w:rPr>
        <w:t>额)。</w:t>
      </w:r>
    </w:p>
    <w:p w14:paraId="1143BA86">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5.</w:t>
      </w:r>
      <w:r>
        <w:rPr>
          <w:rFonts w:hint="eastAsia"/>
        </w:rPr>
        <w:t>合同变更率</w:t>
      </w:r>
    </w:p>
    <w:p w14:paraId="3A51E6E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合同变更的比例。</w:t>
      </w:r>
      <w:r>
        <w:t>指标取值</w:t>
      </w:r>
      <w:r>
        <w:rPr>
          <w:rFonts w:hint="eastAsia"/>
          <w:lang w:eastAsia="zh-CN"/>
        </w:rPr>
        <w:t>：</w:t>
      </w:r>
      <w:r>
        <w:drawing>
          <wp:inline distT="0" distB="0" distL="114300" distR="114300">
            <wp:extent cx="723265" cy="295910"/>
            <wp:effectExtent l="0" t="0" r="635" b="8890"/>
            <wp:docPr id="8" name="图片 8" descr="1705977864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05977864371"/>
                    <pic:cNvPicPr>
                      <a:picLocks noChangeAspect="1"/>
                    </pic:cNvPicPr>
                  </pic:nvPicPr>
                  <pic:blipFill>
                    <a:blip r:embed="rId17"/>
                    <a:stretch>
                      <a:fillRect/>
                    </a:stretch>
                  </pic:blipFill>
                  <pic:spPr>
                    <a:xfrm>
                      <a:off x="0" y="0"/>
                      <a:ext cx="723265" cy="295910"/>
                    </a:xfrm>
                    <a:prstGeom prst="rect">
                      <a:avLst/>
                    </a:prstGeom>
                  </pic:spPr>
                </pic:pic>
              </a:graphicData>
            </a:graphic>
          </wp:inline>
        </w:drawing>
      </w:r>
      <w:r>
        <w:t>其中</w:t>
      </w:r>
      <w:r>
        <w:rPr>
          <w:rFonts w:hint="eastAsia"/>
        </w:rPr>
        <w:t>，</w:t>
      </w:r>
      <w:r>
        <w:t>A=合同变更份数</w:t>
      </w:r>
      <w:r>
        <w:rPr>
          <w:rFonts w:hint="eastAsia"/>
        </w:rPr>
        <w:t>，</w:t>
      </w:r>
      <w:r>
        <w:t>B=书面合同份数</w:t>
      </w:r>
      <w:r>
        <w:rPr>
          <w:rFonts w:hint="eastAsia"/>
        </w:rPr>
        <w:t>，</w:t>
      </w:r>
      <w:r>
        <w:t>C=合同变更总金额</w:t>
      </w:r>
      <w:r>
        <w:rPr>
          <w:rFonts w:hint="eastAsia"/>
        </w:rPr>
        <w:t>，</w:t>
      </w:r>
      <w:r>
        <w:t>D=书面合同总</w:t>
      </w:r>
      <w:r>
        <w:rPr>
          <w:rFonts w:hint="eastAsia"/>
        </w:rPr>
        <w:t>金额)。</w:t>
      </w:r>
    </w:p>
    <w:p w14:paraId="5F05031A">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6.</w:t>
      </w:r>
      <w:r>
        <w:rPr>
          <w:rFonts w:hint="eastAsia"/>
        </w:rPr>
        <w:t>合同解除率</w:t>
      </w:r>
    </w:p>
    <w:p w14:paraId="28F714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协议解除合同率</w:t>
      </w:r>
      <w:r>
        <w:rPr>
          <w:rFonts w:hint="eastAsia"/>
          <w:b/>
          <w:bCs/>
        </w:rPr>
        <w:t>：</w:t>
      </w:r>
      <w:r>
        <w:t>合同被协议解除的比例。指标取值</w:t>
      </w:r>
      <w:r>
        <w:rPr>
          <w:rFonts w:hint="eastAsia"/>
        </w:rPr>
        <w:t>：</w:t>
      </w:r>
      <w:r>
        <w:rPr>
          <w:rFonts w:hint="eastAsia"/>
        </w:rPr>
        <w:drawing>
          <wp:inline distT="0" distB="0" distL="114300" distR="114300">
            <wp:extent cx="790575" cy="323850"/>
            <wp:effectExtent l="0" t="0" r="9525" b="0"/>
            <wp:docPr id="10" name="图片 10" descr="170597801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05978013629"/>
                    <pic:cNvPicPr>
                      <a:picLocks noChangeAspect="1"/>
                    </pic:cNvPicPr>
                  </pic:nvPicPr>
                  <pic:blipFill>
                    <a:blip r:embed="rId18"/>
                    <a:stretch>
                      <a:fillRect/>
                    </a:stretch>
                  </pic:blipFill>
                  <pic:spPr>
                    <a:xfrm>
                      <a:off x="0" y="0"/>
                      <a:ext cx="790575" cy="323850"/>
                    </a:xfrm>
                    <a:prstGeom prst="rect">
                      <a:avLst/>
                    </a:prstGeom>
                  </pic:spPr>
                </pic:pic>
              </a:graphicData>
            </a:graphic>
          </wp:inline>
        </w:drawing>
      </w:r>
      <w:r>
        <w:rPr>
          <w:rFonts w:hint="eastAsia"/>
        </w:rPr>
        <w:t>，</w:t>
      </w:r>
      <w:r>
        <w:t>A=协议解除合同份数</w:t>
      </w:r>
      <w:r>
        <w:rPr>
          <w:rFonts w:hint="eastAsia"/>
        </w:rPr>
        <w:t>，</w:t>
      </w:r>
      <w:r>
        <w:t>B=书面合同份数</w:t>
      </w:r>
      <w:r>
        <w:rPr>
          <w:rFonts w:hint="eastAsia"/>
        </w:rPr>
        <w:t>，</w:t>
      </w:r>
      <w:r>
        <w:t>C=协议解除合同总金额</w:t>
      </w:r>
      <w:r>
        <w:rPr>
          <w:rFonts w:hint="eastAsia"/>
        </w:rPr>
        <w:t>，</w:t>
      </w:r>
      <w:r>
        <w:t>D=书面合同总金额)</w:t>
      </w:r>
      <w:r>
        <w:rPr>
          <w:rFonts w:hint="eastAsia"/>
        </w:rPr>
        <w:t>；</w:t>
      </w:r>
    </w:p>
    <w:p w14:paraId="14503D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b/>
          <w:bCs/>
        </w:rPr>
        <w:t>其他形式解除合同率:</w:t>
      </w:r>
      <w:r>
        <w:t>协议解除以外其他方式解除合同的比例。指标取值</w:t>
      </w:r>
      <w:r>
        <w:rPr>
          <w:rFonts w:hint="eastAsia"/>
        </w:rPr>
        <w:t>：</w:t>
      </w:r>
      <w:r>
        <w:drawing>
          <wp:inline distT="0" distB="0" distL="114300" distR="114300">
            <wp:extent cx="685800" cy="342900"/>
            <wp:effectExtent l="0" t="0" r="0" b="0"/>
            <wp:docPr id="11" name="图片 11" descr="170597801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05978013629"/>
                    <pic:cNvPicPr>
                      <a:picLocks noChangeAspect="1"/>
                    </pic:cNvPicPr>
                  </pic:nvPicPr>
                  <pic:blipFill>
                    <a:blip r:embed="rId18"/>
                    <a:stretch>
                      <a:fillRect/>
                    </a:stretch>
                  </pic:blipFill>
                  <pic:spPr>
                    <a:xfrm>
                      <a:off x="0" y="0"/>
                      <a:ext cx="685800" cy="342900"/>
                    </a:xfrm>
                    <a:prstGeom prst="rect">
                      <a:avLst/>
                    </a:prstGeom>
                  </pic:spPr>
                </pic:pic>
              </a:graphicData>
            </a:graphic>
          </wp:inline>
        </w:drawing>
      </w:r>
      <w:r>
        <w:t>(其中</w:t>
      </w:r>
      <w:r>
        <w:rPr>
          <w:rFonts w:hint="eastAsia"/>
        </w:rPr>
        <w:t>，</w:t>
      </w:r>
      <w:r>
        <w:t>A=其他形式解除合同份数</w:t>
      </w:r>
      <w:r>
        <w:rPr>
          <w:rFonts w:hint="eastAsia"/>
        </w:rPr>
        <w:t>，</w:t>
      </w:r>
      <w:r>
        <w:t>B=书面合同份数</w:t>
      </w:r>
      <w:r>
        <w:rPr>
          <w:rFonts w:hint="eastAsia"/>
        </w:rPr>
        <w:t>，</w:t>
      </w:r>
      <w:r>
        <w:t>C=其他形式解除合同总金额</w:t>
      </w:r>
      <w:r>
        <w:rPr>
          <w:rFonts w:hint="eastAsia"/>
        </w:rPr>
        <w:t>，</w:t>
      </w:r>
      <w:r>
        <w:t>D=书面合同总金额)</w:t>
      </w:r>
      <w:r>
        <w:rPr>
          <w:rFonts w:hint="eastAsia"/>
        </w:rPr>
        <w:t>。</w:t>
      </w:r>
    </w:p>
    <w:p w14:paraId="4EB2A189">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7.</w:t>
      </w:r>
      <w:r>
        <w:rPr>
          <w:rFonts w:hint="eastAsia"/>
        </w:rPr>
        <w:t>合同撤销率</w:t>
      </w:r>
    </w:p>
    <w:p w14:paraId="6BA02F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合同被撤销的比例。</w:t>
      </w:r>
      <w:r>
        <w:t>指标取值</w:t>
      </w:r>
      <w:r>
        <w:rPr>
          <w:rFonts w:hint="eastAsia"/>
        </w:rPr>
        <w:t>：</w:t>
      </w:r>
      <w:r>
        <w:drawing>
          <wp:inline distT="0" distB="0" distL="114300" distR="114300">
            <wp:extent cx="695960" cy="283210"/>
            <wp:effectExtent l="0" t="0" r="8890" b="2540"/>
            <wp:docPr id="12" name="图片 12" descr="1705978068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05978068701"/>
                    <pic:cNvPicPr>
                      <a:picLocks noChangeAspect="1"/>
                    </pic:cNvPicPr>
                  </pic:nvPicPr>
                  <pic:blipFill>
                    <a:blip r:embed="rId19"/>
                    <a:stretch>
                      <a:fillRect/>
                    </a:stretch>
                  </pic:blipFill>
                  <pic:spPr>
                    <a:xfrm>
                      <a:off x="0" y="0"/>
                      <a:ext cx="695960" cy="283210"/>
                    </a:xfrm>
                    <a:prstGeom prst="rect">
                      <a:avLst/>
                    </a:prstGeom>
                  </pic:spPr>
                </pic:pic>
              </a:graphicData>
            </a:graphic>
          </wp:inline>
        </w:drawing>
      </w:r>
      <w:r>
        <w:t>(其中</w:t>
      </w:r>
      <w:r>
        <w:rPr>
          <w:rFonts w:hint="eastAsia"/>
        </w:rPr>
        <w:t>，</w:t>
      </w:r>
      <w:r>
        <w:t>A=合同撤销份数</w:t>
      </w:r>
      <w:r>
        <w:rPr>
          <w:rFonts w:hint="eastAsia"/>
        </w:rPr>
        <w:t>，</w:t>
      </w:r>
      <w:r>
        <w:t>B=书面合同份数</w:t>
      </w:r>
      <w:r>
        <w:rPr>
          <w:rFonts w:hint="eastAsia"/>
        </w:rPr>
        <w:t>，</w:t>
      </w:r>
      <w:r>
        <w:t>C=合同撤销总金额</w:t>
      </w:r>
      <w:r>
        <w:rPr>
          <w:rFonts w:hint="eastAsia"/>
        </w:rPr>
        <w:t>，</w:t>
      </w:r>
      <w:r>
        <w:t>D=书面合同总金额)</w:t>
      </w:r>
      <w:r>
        <w:rPr>
          <w:rFonts w:hint="eastAsia"/>
        </w:rPr>
        <w:t>。</w:t>
      </w:r>
    </w:p>
    <w:p w14:paraId="590D594D">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8.</w:t>
      </w:r>
      <w:r>
        <w:rPr>
          <w:rFonts w:hint="eastAsia"/>
        </w:rPr>
        <w:t>合同未履行率</w:t>
      </w:r>
    </w:p>
    <w:p w14:paraId="384AC500">
      <w:pPr>
        <w:pStyle w:val="7"/>
        <w:keepNext w:val="0"/>
        <w:keepLines w:val="0"/>
        <w:pageBreakBefore w:val="0"/>
        <w:widowControl w:val="0"/>
        <w:kinsoku/>
        <w:wordWrap/>
        <w:overflowPunct/>
        <w:topLinePunct w:val="0"/>
        <w:autoSpaceDE/>
        <w:autoSpaceDN/>
        <w:bidi w:val="0"/>
        <w:adjustRightInd/>
        <w:snapToGrid/>
        <w:spacing w:line="560" w:lineRule="exact"/>
        <w:textAlignment w:val="auto"/>
      </w:pPr>
      <w:r>
        <w:rPr>
          <w:b/>
          <w:bCs/>
        </w:rPr>
        <w:t>到期未履行的合同比例。</w:t>
      </w:r>
      <w:r>
        <w:t>指标取值</w:t>
      </w:r>
      <w:r>
        <w:rPr>
          <w:rFonts w:hint="eastAsia"/>
        </w:rPr>
        <w:t>：</w:t>
      </w:r>
      <w:r>
        <w:drawing>
          <wp:inline distT="0" distB="0" distL="114300" distR="114300">
            <wp:extent cx="628650" cy="245110"/>
            <wp:effectExtent l="0" t="0" r="0" b="2540"/>
            <wp:docPr id="14" name="图片 14" descr="1705978217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05978217844"/>
                    <pic:cNvPicPr>
                      <a:picLocks noChangeAspect="1"/>
                    </pic:cNvPicPr>
                  </pic:nvPicPr>
                  <pic:blipFill>
                    <a:blip r:embed="rId20"/>
                    <a:stretch>
                      <a:fillRect/>
                    </a:stretch>
                  </pic:blipFill>
                  <pic:spPr>
                    <a:xfrm>
                      <a:off x="0" y="0"/>
                      <a:ext cx="628650" cy="245110"/>
                    </a:xfrm>
                    <a:prstGeom prst="rect">
                      <a:avLst/>
                    </a:prstGeom>
                  </pic:spPr>
                </pic:pic>
              </a:graphicData>
            </a:graphic>
          </wp:inline>
        </w:drawing>
      </w:r>
      <w:r>
        <w:t>(其中</w:t>
      </w:r>
      <w:r>
        <w:rPr>
          <w:rFonts w:hint="eastAsia"/>
        </w:rPr>
        <w:t>，</w:t>
      </w:r>
      <w:r>
        <w:t>A=实际到期未履行的合同总份数</w:t>
      </w:r>
      <w:r>
        <w:rPr>
          <w:rFonts w:hint="eastAsia"/>
        </w:rPr>
        <w:t>，</w:t>
      </w:r>
      <w:r>
        <w:t>B=当年应当履行合同总份数</w:t>
      </w:r>
      <w:r>
        <w:rPr>
          <w:rFonts w:hint="eastAsia"/>
        </w:rPr>
        <w:t>，</w:t>
      </w:r>
      <w:r>
        <w:t>C=实际到期未履行的合同总金额</w:t>
      </w:r>
      <w:r>
        <w:rPr>
          <w:rFonts w:hint="eastAsia"/>
        </w:rPr>
        <w:t>，</w:t>
      </w:r>
      <w:r>
        <w:t>D=当年应当履行合同总金额)</w:t>
      </w:r>
      <w:r>
        <w:rPr>
          <w:rFonts w:hint="eastAsia"/>
        </w:rPr>
        <w:t>。</w:t>
      </w:r>
    </w:p>
    <w:p w14:paraId="207E116D">
      <w:pPr>
        <w:pStyle w:val="2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eastAsia="zh-CN"/>
        </w:rPr>
        <w:t>五、</w:t>
      </w:r>
      <w:r>
        <w:rPr>
          <w:rFonts w:hint="eastAsia" w:ascii="方正黑体_GBK" w:hAnsi="方正黑体_GBK" w:eastAsia="方正黑体_GBK" w:cs="方正黑体_GBK"/>
        </w:rPr>
        <w:t>企业经营效益</w:t>
      </w:r>
    </w:p>
    <w:p w14:paraId="15AA7AF2">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1.</w:t>
      </w:r>
      <w:r>
        <w:rPr>
          <w:rFonts w:hint="eastAsia"/>
        </w:rPr>
        <w:t>营业收入增长率</w:t>
      </w:r>
    </w:p>
    <w:p w14:paraId="65F929D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企业营业收入的年增长率。</w:t>
      </w:r>
      <w:r>
        <w:t>指标取值</w:t>
      </w:r>
      <w:r>
        <w:rPr>
          <w:rFonts w:hint="eastAsia"/>
        </w:rPr>
        <w:t>：</w:t>
      </w:r>
      <w:r>
        <w:rPr>
          <w:rFonts w:hint="eastAsia"/>
        </w:rPr>
        <w:drawing>
          <wp:inline distT="0" distB="0" distL="114300" distR="114300">
            <wp:extent cx="768350" cy="304800"/>
            <wp:effectExtent l="0" t="0" r="12700" b="0"/>
            <wp:docPr id="16" name="图片 16" descr="1705978325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05978325163"/>
                    <pic:cNvPicPr>
                      <a:picLocks noChangeAspect="1"/>
                    </pic:cNvPicPr>
                  </pic:nvPicPr>
                  <pic:blipFill>
                    <a:blip r:embed="rId21"/>
                    <a:stretch>
                      <a:fillRect/>
                    </a:stretch>
                  </pic:blipFill>
                  <pic:spPr>
                    <a:xfrm>
                      <a:off x="0" y="0"/>
                      <a:ext cx="768350" cy="304800"/>
                    </a:xfrm>
                    <a:prstGeom prst="rect">
                      <a:avLst/>
                    </a:prstGeom>
                  </pic:spPr>
                </pic:pic>
              </a:graphicData>
            </a:graphic>
          </wp:inline>
        </w:drawing>
      </w:r>
      <w:r>
        <w:rPr>
          <w:rFonts w:hint="eastAsia"/>
        </w:rPr>
        <w:t>，</w:t>
      </w:r>
      <w:r>
        <w:t>A=当年营业收入</w:t>
      </w:r>
      <w:r>
        <w:rPr>
          <w:rFonts w:hint="eastAsia"/>
        </w:rPr>
        <w:t>，</w:t>
      </w:r>
      <w:r>
        <w:t>B=上年营业收入</w:t>
      </w:r>
      <w:r>
        <w:rPr>
          <w:rFonts w:hint="eastAsia"/>
        </w:rPr>
        <w:t>，</w:t>
      </w:r>
      <w:r>
        <w:t>C=上年营业收入)</w:t>
      </w:r>
      <w:r>
        <w:rPr>
          <w:rFonts w:hint="eastAsia"/>
        </w:rPr>
        <w:t>。</w:t>
      </w:r>
    </w:p>
    <w:p w14:paraId="161C7CF3">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2.</w:t>
      </w:r>
      <w:r>
        <w:rPr>
          <w:rFonts w:hint="eastAsia"/>
        </w:rPr>
        <w:t>主营业务利润率</w:t>
      </w:r>
    </w:p>
    <w:p w14:paraId="73AF04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主营业务的利润率。</w:t>
      </w:r>
      <w:r>
        <w:t>指标取值</w:t>
      </w:r>
      <w:r>
        <w:rPr>
          <w:rFonts w:hint="eastAsia"/>
        </w:rPr>
        <w:t>：</w:t>
      </w:r>
      <w:r>
        <w:drawing>
          <wp:inline distT="0" distB="0" distL="114300" distR="114300">
            <wp:extent cx="730250" cy="304800"/>
            <wp:effectExtent l="0" t="0" r="12700" b="0"/>
            <wp:docPr id="18" name="图片 18" descr="1705978388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05978388365"/>
                    <pic:cNvPicPr>
                      <a:picLocks noChangeAspect="1"/>
                    </pic:cNvPicPr>
                  </pic:nvPicPr>
                  <pic:blipFill>
                    <a:blip r:embed="rId22"/>
                    <a:stretch>
                      <a:fillRect/>
                    </a:stretch>
                  </pic:blipFill>
                  <pic:spPr>
                    <a:xfrm>
                      <a:off x="0" y="0"/>
                      <a:ext cx="730250" cy="304800"/>
                    </a:xfrm>
                    <a:prstGeom prst="rect">
                      <a:avLst/>
                    </a:prstGeom>
                  </pic:spPr>
                </pic:pic>
              </a:graphicData>
            </a:graphic>
          </wp:inline>
        </w:drawing>
      </w:r>
      <w:r>
        <w:t>(其中</w:t>
      </w:r>
      <w:r>
        <w:rPr>
          <w:rFonts w:hint="eastAsia"/>
        </w:rPr>
        <w:t>，</w:t>
      </w:r>
      <w:r>
        <w:t>A=主营业务收入</w:t>
      </w:r>
      <w:r>
        <w:rPr>
          <w:rFonts w:hint="eastAsia"/>
        </w:rPr>
        <w:t>，</w:t>
      </w:r>
      <w:r>
        <w:t>B=主营业务成本</w:t>
      </w:r>
      <w:r>
        <w:rPr>
          <w:rFonts w:hint="eastAsia"/>
        </w:rPr>
        <w:t>，</w:t>
      </w:r>
      <w:r>
        <w:t>C=主营业务收入)</w:t>
      </w:r>
      <w:r>
        <w:rPr>
          <w:rFonts w:hint="eastAsia"/>
        </w:rPr>
        <w:t>。</w:t>
      </w:r>
    </w:p>
    <w:p w14:paraId="7E203F40">
      <w:pPr>
        <w:pStyle w:val="2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净资产收益率</w:t>
      </w:r>
    </w:p>
    <w:p w14:paraId="2236B2F1">
      <w:pPr>
        <w:pStyle w:val="7"/>
        <w:keepNext w:val="0"/>
        <w:keepLines w:val="0"/>
        <w:pageBreakBefore w:val="0"/>
        <w:widowControl w:val="0"/>
        <w:kinsoku/>
        <w:wordWrap/>
        <w:overflowPunct/>
        <w:topLinePunct w:val="0"/>
        <w:autoSpaceDE/>
        <w:autoSpaceDN/>
        <w:bidi w:val="0"/>
        <w:adjustRightInd/>
        <w:snapToGrid/>
        <w:spacing w:line="560" w:lineRule="exact"/>
        <w:textAlignment w:val="auto"/>
      </w:pPr>
      <w:r>
        <w:rPr>
          <w:b/>
          <w:bCs/>
        </w:rPr>
        <w:t>净资产的收益率。</w:t>
      </w:r>
      <w:r>
        <w:t>指标取值</w:t>
      </w:r>
      <w:r>
        <w:rPr>
          <w:rFonts w:hint="eastAsia"/>
        </w:rPr>
        <w:t>：</w:t>
      </w:r>
      <w:r>
        <w:drawing>
          <wp:inline distT="0" distB="0" distL="114300" distR="114300">
            <wp:extent cx="971550" cy="285750"/>
            <wp:effectExtent l="0" t="0" r="0" b="0"/>
            <wp:docPr id="20" name="图片 20" descr="1705978468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705978468603"/>
                    <pic:cNvPicPr>
                      <a:picLocks noChangeAspect="1"/>
                    </pic:cNvPicPr>
                  </pic:nvPicPr>
                  <pic:blipFill>
                    <a:blip r:embed="rId23"/>
                    <a:stretch>
                      <a:fillRect/>
                    </a:stretch>
                  </pic:blipFill>
                  <pic:spPr>
                    <a:xfrm>
                      <a:off x="0" y="0"/>
                      <a:ext cx="971550" cy="285750"/>
                    </a:xfrm>
                    <a:prstGeom prst="rect">
                      <a:avLst/>
                    </a:prstGeom>
                  </pic:spPr>
                </pic:pic>
              </a:graphicData>
            </a:graphic>
          </wp:inline>
        </w:drawing>
      </w:r>
      <w:r>
        <w:t>(其中</w:t>
      </w:r>
      <w:r>
        <w:rPr>
          <w:rFonts w:hint="eastAsia"/>
        </w:rPr>
        <w:t>，</w:t>
      </w:r>
      <w:r>
        <w:t>A=净利润</w:t>
      </w:r>
      <w:r>
        <w:rPr>
          <w:rFonts w:hint="eastAsia"/>
        </w:rPr>
        <w:t>，</w:t>
      </w:r>
      <w:r>
        <w:t>B=净资产年初数</w:t>
      </w:r>
      <w:r>
        <w:rPr>
          <w:rFonts w:hint="eastAsia"/>
        </w:rPr>
        <w:t>，</w:t>
      </w:r>
      <w:r>
        <w:t>C=净资产年末数)</w:t>
      </w:r>
      <w:r>
        <w:rPr>
          <w:rFonts w:hint="eastAsia"/>
        </w:rPr>
        <w:t>。</w:t>
      </w:r>
    </w:p>
    <w:p w14:paraId="29B69777">
      <w:pPr>
        <w:pStyle w:val="2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资产负债率</w:t>
      </w:r>
    </w:p>
    <w:p w14:paraId="6E94A6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资产的负债率。</w:t>
      </w:r>
      <w:r>
        <w:t>指标取值</w:t>
      </w:r>
      <w:r>
        <w:rPr>
          <w:rFonts w:hint="eastAsia"/>
        </w:rPr>
        <w:t>：</w:t>
      </w:r>
      <w:r>
        <w:drawing>
          <wp:inline distT="0" distB="0" distL="114300" distR="114300">
            <wp:extent cx="609600" cy="323850"/>
            <wp:effectExtent l="0" t="0" r="0" b="0"/>
            <wp:docPr id="23" name="图片 23" descr="170597851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705978518379"/>
                    <pic:cNvPicPr>
                      <a:picLocks noChangeAspect="1"/>
                    </pic:cNvPicPr>
                  </pic:nvPicPr>
                  <pic:blipFill>
                    <a:blip r:embed="rId24"/>
                    <a:stretch>
                      <a:fillRect/>
                    </a:stretch>
                  </pic:blipFill>
                  <pic:spPr>
                    <a:xfrm>
                      <a:off x="0" y="0"/>
                      <a:ext cx="609600" cy="323850"/>
                    </a:xfrm>
                    <a:prstGeom prst="rect">
                      <a:avLst/>
                    </a:prstGeom>
                  </pic:spPr>
                </pic:pic>
              </a:graphicData>
            </a:graphic>
          </wp:inline>
        </w:drawing>
      </w:r>
      <w:r>
        <w:t>(其中</w:t>
      </w:r>
      <w:r>
        <w:rPr>
          <w:rFonts w:hint="eastAsia"/>
        </w:rPr>
        <w:t>，</w:t>
      </w:r>
      <w:r>
        <w:t>A=负债总额</w:t>
      </w:r>
      <w:r>
        <w:rPr>
          <w:rFonts w:hint="eastAsia"/>
        </w:rPr>
        <w:t>，</w:t>
      </w:r>
      <w:r>
        <w:t>B=资产总额)</w:t>
      </w:r>
      <w:r>
        <w:rPr>
          <w:rFonts w:hint="eastAsia"/>
        </w:rPr>
        <w:t>。</w:t>
      </w:r>
    </w:p>
    <w:p w14:paraId="36AE513D">
      <w:pPr>
        <w:pStyle w:val="2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速动比率</w:t>
      </w:r>
    </w:p>
    <w:p w14:paraId="2F5E6E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速动资产对流动负债的比率。</w:t>
      </w:r>
      <w:r>
        <w:t>它是衡量企业流动资产中可以立即变现用于偿还流动负债的能力。指标取值</w:t>
      </w:r>
      <w:r>
        <w:rPr>
          <w:rFonts w:hint="eastAsia"/>
        </w:rPr>
        <w:t>：</w:t>
      </w:r>
      <w:r>
        <w:drawing>
          <wp:inline distT="0" distB="0" distL="114300" distR="114300">
            <wp:extent cx="768350" cy="330200"/>
            <wp:effectExtent l="0" t="0" r="12700" b="12700"/>
            <wp:docPr id="17" name="图片 17" descr="170597835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05978355258"/>
                    <pic:cNvPicPr>
                      <a:picLocks noChangeAspect="1"/>
                    </pic:cNvPicPr>
                  </pic:nvPicPr>
                  <pic:blipFill>
                    <a:blip r:embed="rId25"/>
                    <a:stretch>
                      <a:fillRect/>
                    </a:stretch>
                  </pic:blipFill>
                  <pic:spPr>
                    <a:xfrm>
                      <a:off x="0" y="0"/>
                      <a:ext cx="768350" cy="330200"/>
                    </a:xfrm>
                    <a:prstGeom prst="rect">
                      <a:avLst/>
                    </a:prstGeom>
                  </pic:spPr>
                </pic:pic>
              </a:graphicData>
            </a:graphic>
          </wp:inline>
        </w:drawing>
      </w:r>
      <w:r>
        <w:t>(其中</w:t>
      </w:r>
      <w:r>
        <w:rPr>
          <w:rFonts w:hint="eastAsia"/>
        </w:rPr>
        <w:t>，</w:t>
      </w:r>
      <w:r>
        <w:t>A=流动资产</w:t>
      </w:r>
      <w:r>
        <w:rPr>
          <w:rFonts w:hint="eastAsia"/>
        </w:rPr>
        <w:t>，</w:t>
      </w:r>
      <w:r>
        <w:t>B=存货</w:t>
      </w:r>
      <w:r>
        <w:rPr>
          <w:rFonts w:hint="eastAsia"/>
        </w:rPr>
        <w:t>，</w:t>
      </w:r>
      <w:r>
        <w:t>C=流动负债)</w:t>
      </w:r>
      <w:r>
        <w:rPr>
          <w:rFonts w:hint="eastAsia"/>
        </w:rPr>
        <w:t>。</w:t>
      </w:r>
    </w:p>
    <w:p w14:paraId="4944E412">
      <w:pPr>
        <w:pStyle w:val="2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逾期账款占应收账款比例</w:t>
      </w:r>
    </w:p>
    <w:p w14:paraId="5A60E9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逾期账款占应收账款比例。</w:t>
      </w:r>
      <w:r>
        <w:t>指标取值</w:t>
      </w:r>
      <w:r>
        <w:rPr>
          <w:rFonts w:hint="eastAsia"/>
        </w:rPr>
        <w:t>：</w:t>
      </w:r>
      <w:r>
        <w:rPr>
          <w:rFonts w:hint="eastAsia"/>
        </w:rPr>
        <w:drawing>
          <wp:inline distT="0" distB="0" distL="114300" distR="114300">
            <wp:extent cx="609600" cy="323850"/>
            <wp:effectExtent l="0" t="0" r="0" b="0"/>
            <wp:docPr id="21" name="图片 21" descr="170597851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705978518379"/>
                    <pic:cNvPicPr>
                      <a:picLocks noChangeAspect="1"/>
                    </pic:cNvPicPr>
                  </pic:nvPicPr>
                  <pic:blipFill>
                    <a:blip r:embed="rId24"/>
                    <a:stretch>
                      <a:fillRect/>
                    </a:stretch>
                  </pic:blipFill>
                  <pic:spPr>
                    <a:xfrm>
                      <a:off x="0" y="0"/>
                      <a:ext cx="609600" cy="323850"/>
                    </a:xfrm>
                    <a:prstGeom prst="rect">
                      <a:avLst/>
                    </a:prstGeom>
                  </pic:spPr>
                </pic:pic>
              </a:graphicData>
            </a:graphic>
          </wp:inline>
        </w:drawing>
      </w:r>
      <w:r>
        <w:rPr>
          <w:rFonts w:hint="eastAsia"/>
        </w:rPr>
        <w:t>，</w:t>
      </w:r>
      <w:r>
        <w:t>A=逾期应收账款</w:t>
      </w:r>
      <w:r>
        <w:rPr>
          <w:rFonts w:hint="eastAsia"/>
        </w:rPr>
        <w:t>，</w:t>
      </w:r>
      <w:r>
        <w:t>逾期应收账款</w:t>
      </w:r>
      <w:r>
        <w:rPr>
          <w:rFonts w:hint="eastAsia"/>
        </w:rPr>
        <w:t>：</w:t>
      </w:r>
      <w:r>
        <w:t>指应收账款中超过收入性合同约定期限</w:t>
      </w:r>
      <w:r>
        <w:rPr>
          <w:rFonts w:hint="eastAsia"/>
        </w:rPr>
        <w:t>，</w:t>
      </w:r>
      <w:r>
        <w:t>到期应收而未收的款项。B=应收账款年末数)</w:t>
      </w:r>
      <w:r>
        <w:rPr>
          <w:rFonts w:hint="eastAsia"/>
        </w:rPr>
        <w:t>。</w:t>
      </w:r>
    </w:p>
    <w:p w14:paraId="131C944E">
      <w:pPr>
        <w:pStyle w:val="2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逾期账款占应付账款比例</w:t>
      </w:r>
    </w:p>
    <w:p w14:paraId="36AB5F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逾期账款应付账款比例。</w:t>
      </w:r>
      <w:r>
        <w:t>指标取值</w:t>
      </w:r>
      <w:r>
        <w:rPr>
          <w:rFonts w:hint="eastAsia"/>
        </w:rPr>
        <w:t>：</w:t>
      </w:r>
      <w:r>
        <w:rPr>
          <w:rFonts w:hint="eastAsia"/>
        </w:rPr>
        <w:drawing>
          <wp:inline distT="0" distB="0" distL="114300" distR="114300">
            <wp:extent cx="609600" cy="323850"/>
            <wp:effectExtent l="0" t="0" r="0" b="0"/>
            <wp:docPr id="22" name="图片 22" descr="170597851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705978518379"/>
                    <pic:cNvPicPr>
                      <a:picLocks noChangeAspect="1"/>
                    </pic:cNvPicPr>
                  </pic:nvPicPr>
                  <pic:blipFill>
                    <a:blip r:embed="rId24"/>
                    <a:stretch>
                      <a:fillRect/>
                    </a:stretch>
                  </pic:blipFill>
                  <pic:spPr>
                    <a:xfrm>
                      <a:off x="0" y="0"/>
                      <a:ext cx="609600" cy="323850"/>
                    </a:xfrm>
                    <a:prstGeom prst="rect">
                      <a:avLst/>
                    </a:prstGeom>
                  </pic:spPr>
                </pic:pic>
              </a:graphicData>
            </a:graphic>
          </wp:inline>
        </w:drawing>
      </w:r>
      <w:r>
        <w:rPr>
          <w:rFonts w:hint="eastAsia"/>
        </w:rPr>
        <w:t>，</w:t>
      </w:r>
      <w:r>
        <w:t>A=逾期应付账款</w:t>
      </w:r>
      <w:r>
        <w:rPr>
          <w:rFonts w:hint="eastAsia"/>
        </w:rPr>
        <w:t>，</w:t>
      </w:r>
      <w:r>
        <w:t>逾期应付账款</w:t>
      </w:r>
      <w:r>
        <w:rPr>
          <w:rFonts w:hint="eastAsia"/>
        </w:rPr>
        <w:t>：</w:t>
      </w:r>
      <w:r>
        <w:t>指应付账款中超过支出性合同约定期限</w:t>
      </w:r>
      <w:r>
        <w:rPr>
          <w:rFonts w:hint="eastAsia"/>
        </w:rPr>
        <w:t>，</w:t>
      </w:r>
      <w:r>
        <w:t>到期应付而未付的款项。B=应付账款年末数)</w:t>
      </w:r>
      <w:r>
        <w:rPr>
          <w:rFonts w:hint="eastAsia"/>
        </w:rPr>
        <w:t>。</w:t>
      </w:r>
    </w:p>
    <w:p w14:paraId="39E59044">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lang w:eastAsia="zh-CN"/>
        </w:rPr>
        <w:t>企业社会信誉</w:t>
      </w:r>
    </w:p>
    <w:p w14:paraId="3128C4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w:t>
      </w:r>
      <w:r>
        <w:rPr>
          <w:rFonts w:hint="eastAsia" w:cs="方正仿宋_GBK"/>
          <w:lang w:val="en-US" w:eastAsia="zh-CN"/>
        </w:rPr>
        <w:t>荣誉记录填写在评价年度内有效的由国务院、国家部委、省级政府、其他地市级（含）以上政府颁发的荣誉，并提供相关佐证材料。</w:t>
      </w:r>
    </w:p>
    <w:p w14:paraId="766DD2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cs="方正仿宋_GBK"/>
          <w:lang w:val="en-US" w:eastAsia="zh-CN"/>
        </w:rPr>
      </w:pPr>
      <w:r>
        <w:rPr>
          <w:rFonts w:hint="eastAsia" w:cs="方正仿宋_GBK"/>
          <w:lang w:val="en-US" w:eastAsia="zh-CN"/>
        </w:rPr>
        <w:t>2.社会贡献总额：以货币形式表现的企业为社会创造国民收入的总额，包括工资（含奖金、津贴等工资性收入，即企业在成本、费用中列支的应提工资数额）、劳保退休统筹及其他社会福利支出、利息支出净额、应交增值税、应交销售税金及附加、应交所得税、关税、其他税收、净利润等。</w:t>
      </w:r>
    </w:p>
    <w:p w14:paraId="2B4C03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cs="方正仿宋_GBK"/>
          <w:lang w:val="en-US" w:eastAsia="zh-CN"/>
        </w:rPr>
      </w:pPr>
      <w:r>
        <w:rPr>
          <w:rFonts w:hint="eastAsia" w:cs="方正仿宋_GBK"/>
          <w:lang w:val="en-US" w:eastAsia="zh-CN"/>
        </w:rPr>
        <w:t>公益捐赠折合金额：公益捐赠是公益、救济性捐赠，指纳税人通过中国境内非盈利的社会团体、国家机关，向教育、民政等公益事业和遭受自然灾害地区、贫困地区的捐赠。公益捐赠折合金额是指捐赠款物折合金额值。</w:t>
      </w:r>
    </w:p>
    <w:p w14:paraId="1E6701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ascii="方正仿宋_GBK" w:hAnsi="方正仿宋_GBK" w:eastAsia="方正仿宋_GBK" w:cs="方正仿宋_GBK"/>
          <w:lang w:val="en-US" w:eastAsia="zh-CN"/>
        </w:rPr>
      </w:pPr>
      <w:r>
        <w:rPr>
          <w:rFonts w:hint="eastAsia" w:cs="方正仿宋_GBK"/>
          <w:lang w:val="en-US" w:eastAsia="zh-CN"/>
        </w:rPr>
        <w:t>3.</w:t>
      </w:r>
      <w:r>
        <w:rPr>
          <w:rFonts w:hint="eastAsia" w:ascii="方正仿宋_GBK" w:hAnsi="方正仿宋_GBK" w:eastAsia="方正仿宋_GBK" w:cs="方正仿宋_GBK"/>
          <w:lang w:val="en-US" w:eastAsia="zh-CN"/>
        </w:rPr>
        <w:t>有资质的信用评级机构指取得政府有关部门资格审批、认可的信用评级机构。有资质的诚信评价机构指取得政府有关部门资格审批的诚信评价机构。</w:t>
      </w:r>
    </w:p>
    <w:p w14:paraId="34A5F3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cs="方正仿宋_GBK"/>
          <w:lang w:val="en-US" w:eastAsia="zh-CN"/>
        </w:rPr>
      </w:pPr>
      <w:r>
        <w:rPr>
          <w:rFonts w:hint="eastAsia" w:cs="方正仿宋_GBK"/>
          <w:lang w:val="en-US" w:eastAsia="zh-CN"/>
        </w:rPr>
        <w:t>4.已完成信用修复的企业需提供相关佐证材料。</w:t>
      </w:r>
    </w:p>
    <w:p w14:paraId="5B8CE7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cs="方正仿宋_GBK"/>
          <w:lang w:val="en-US" w:eastAsia="zh-CN"/>
        </w:rPr>
      </w:pPr>
      <w:r>
        <w:rPr>
          <w:rFonts w:hint="eastAsia" w:cs="方正仿宋_GBK"/>
          <w:lang w:val="en-US" w:eastAsia="zh-CN"/>
        </w:rPr>
        <w:t>5.企业信用评价等级需提供相关佐证材料。</w:t>
      </w:r>
    </w:p>
    <w:p w14:paraId="4D97CAA7">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6DC80017">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663BA5CF">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0D9D64BF">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69F638BB">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24BE3E01">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6106E9D9">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1DEFD0D1">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2ECECBF8">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5ECC4622">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28B4DE7C">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2C36AA25">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726530FE">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16F1C345">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69EA4AA6">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0BC1E8C5">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7570A876">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5C68F369">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43ED2D76">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55C7E120">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673A493A">
      <w:pPr>
        <w:pStyle w:val="17"/>
        <w:numPr>
          <w:ilvl w:val="0"/>
          <w:numId w:val="0"/>
        </w:numPr>
        <w:bidi w:val="0"/>
        <w:jc w:val="center"/>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lang w:val="en-US" w:eastAsia="zh-Hans"/>
        </w:rPr>
        <w:t>“企业信用状况资料”获取方式</w:t>
      </w:r>
    </w:p>
    <w:p w14:paraId="6ACDF1E1">
      <w:pPr>
        <w:rPr>
          <w:rFonts w:hint="eastAsia"/>
        </w:rPr>
      </w:pPr>
    </w:p>
    <w:p w14:paraId="39BEA221">
      <w:pPr>
        <w:rPr>
          <w:rFonts w:hint="default"/>
        </w:rPr>
      </w:pPr>
      <w:r>
        <w:rPr>
          <w:rFonts w:hint="eastAsia"/>
        </w:rPr>
        <w:t>登陆https://www.creditchina.</w:t>
      </w:r>
      <w:r>
        <w:rPr>
          <w:rFonts w:hint="default"/>
        </w:rPr>
        <w:t>g</w:t>
      </w:r>
      <w:r>
        <w:rPr>
          <w:rFonts w:hint="eastAsia"/>
        </w:rPr>
        <w:t>ov.cn/，输入公司名称搜索，点击“下载信用信息报告”</w:t>
      </w:r>
      <w:r>
        <w:rPr>
          <w:rFonts w:hint="default"/>
        </w:rPr>
        <w:t>。</w:t>
      </w:r>
    </w:p>
    <w:p w14:paraId="376628C8">
      <w:pPr>
        <w:spacing w:line="240" w:lineRule="auto"/>
        <w:ind w:left="0" w:leftChars="0" w:firstLine="0" w:firstLineChars="0"/>
        <w:jc w:val="center"/>
        <w:rPr>
          <w:rFonts w:hint="default"/>
        </w:rPr>
      </w:pPr>
      <w:r>
        <w:drawing>
          <wp:inline distT="0" distB="0" distL="114300" distR="114300">
            <wp:extent cx="5609590" cy="3818255"/>
            <wp:effectExtent l="0" t="0" r="1016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6"/>
                    <a:stretch>
                      <a:fillRect/>
                    </a:stretch>
                  </pic:blipFill>
                  <pic:spPr>
                    <a:xfrm>
                      <a:off x="0" y="0"/>
                      <a:ext cx="5609590" cy="3818255"/>
                    </a:xfrm>
                    <a:prstGeom prst="rect">
                      <a:avLst/>
                    </a:prstGeom>
                    <a:noFill/>
                    <a:ln>
                      <a:noFill/>
                    </a:ln>
                  </pic:spPr>
                </pic:pic>
              </a:graphicData>
            </a:graphic>
          </wp:inline>
        </w:drawing>
      </w:r>
    </w:p>
    <w:p w14:paraId="0359A7E6">
      <w:pPr>
        <w:pStyle w:val="17"/>
        <w:numPr>
          <w:ilvl w:val="0"/>
          <w:numId w:val="0"/>
        </w:numPr>
        <w:bidi w:val="0"/>
        <w:ind w:firstLine="706" w:firstLineChars="200"/>
        <w:rPr>
          <w:rFonts w:hint="eastAsia"/>
          <w:lang w:eastAsia="zh-CN"/>
        </w:rPr>
      </w:pPr>
    </w:p>
    <w:p w14:paraId="2E430AB6">
      <w:pPr>
        <w:numPr>
          <w:ilvl w:val="0"/>
          <w:numId w:val="0"/>
        </w:numPr>
        <w:ind w:firstLine="706" w:firstLineChars="200"/>
        <w:rPr>
          <w:rFonts w:hint="default" w:cs="方正仿宋_GBK"/>
          <w:lang w:val="en-US" w:eastAsia="zh-CN"/>
        </w:rPr>
      </w:pPr>
    </w:p>
    <w:p w14:paraId="4BDAF8B6">
      <w:pPr>
        <w:numPr>
          <w:ilvl w:val="0"/>
          <w:numId w:val="0"/>
        </w:numPr>
        <w:ind w:firstLine="706" w:firstLineChars="200"/>
        <w:rPr>
          <w:rFonts w:hint="default" w:cs="方正仿宋_GBK"/>
          <w:lang w:val="en-US" w:eastAsia="zh-CN"/>
        </w:rPr>
      </w:pPr>
    </w:p>
    <w:p w14:paraId="14F4A8CE">
      <w:pPr>
        <w:numPr>
          <w:ilvl w:val="0"/>
          <w:numId w:val="0"/>
        </w:numPr>
        <w:ind w:firstLine="706" w:firstLineChars="200"/>
        <w:rPr>
          <w:rFonts w:hint="default" w:cs="方正仿宋_GBK"/>
          <w:lang w:val="en-US" w:eastAsia="zh-CN"/>
        </w:rPr>
      </w:pPr>
    </w:p>
    <w:p w14:paraId="5594FD8D">
      <w:pPr>
        <w:numPr>
          <w:ilvl w:val="0"/>
          <w:numId w:val="0"/>
        </w:numPr>
        <w:ind w:firstLine="706" w:firstLineChars="200"/>
        <w:rPr>
          <w:rFonts w:hint="default" w:cs="方正仿宋_GBK"/>
          <w:lang w:val="en-US" w:eastAsia="zh-CN"/>
        </w:rPr>
      </w:pPr>
    </w:p>
    <w:p w14:paraId="0F73BB1B">
      <w:pPr>
        <w:numPr>
          <w:ilvl w:val="0"/>
          <w:numId w:val="0"/>
        </w:numPr>
        <w:ind w:firstLine="706" w:firstLineChars="200"/>
        <w:rPr>
          <w:rFonts w:hint="default" w:cs="方正仿宋_GBK"/>
          <w:lang w:val="en-US" w:eastAsia="zh-CN"/>
        </w:rPr>
      </w:pPr>
    </w:p>
    <w:p w14:paraId="35E7B866">
      <w:pPr>
        <w:numPr>
          <w:ilvl w:val="0"/>
          <w:numId w:val="0"/>
        </w:numPr>
        <w:ind w:firstLine="706" w:firstLineChars="200"/>
        <w:rPr>
          <w:rFonts w:hint="default" w:cs="方正仿宋_GBK"/>
          <w:lang w:val="en-US" w:eastAsia="zh-CN"/>
        </w:rPr>
      </w:pPr>
    </w:p>
    <w:p w14:paraId="4C80BBE9">
      <w:pPr>
        <w:pStyle w:val="17"/>
        <w:numPr>
          <w:ilvl w:val="0"/>
          <w:numId w:val="0"/>
        </w:numPr>
        <w:bidi w:val="0"/>
        <w:jc w:val="center"/>
        <w:rPr>
          <w:rFonts w:hint="eastAsia" w:ascii="方正小标宋_GBK" w:hAnsi="方正小标宋_GBK" w:eastAsia="方正小标宋_GBK" w:cs="方正小标宋_GBK"/>
          <w:sz w:val="44"/>
          <w:szCs w:val="44"/>
          <w:lang w:val="en-US" w:eastAsia="zh-CN"/>
        </w:rPr>
      </w:pPr>
    </w:p>
    <w:p w14:paraId="1083FCCA">
      <w:pPr>
        <w:pStyle w:val="17"/>
        <w:numPr>
          <w:ilvl w:val="0"/>
          <w:numId w:val="0"/>
        </w:numPr>
        <w:bidi w:val="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“社会保险参保证明”获取方式</w:t>
      </w:r>
    </w:p>
    <w:p w14:paraId="19A672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cs="方正仿宋_GBK"/>
          <w:lang w:val="en-US" w:eastAsia="zh-CN"/>
        </w:rPr>
      </w:pPr>
    </w:p>
    <w:p w14:paraId="52C7DB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cs="方正仿宋_GBK"/>
          <w:lang w:val="en-US" w:eastAsia="zh-CN"/>
        </w:rPr>
      </w:pPr>
      <w:r>
        <w:rPr>
          <w:rFonts w:hint="eastAsia" w:cs="方正仿宋_GBK"/>
          <w:lang w:val="en-US" w:eastAsia="zh-CN"/>
        </w:rPr>
        <w:t>登录https://zwfw.hubei.gov.cn/（湖北政务服务网），在首页点击“企业职工养老保险信息系统”，登录后点击“社保电子证明”，再选择“单位社会保险参保证明”。在页面上选择需要查询的险种和具体时间段，选中人员信息后点击“预览”，确认无误后下载《湖北省社会保险参保证明（单位专用）》。</w:t>
      </w:r>
    </w:p>
    <w:p w14:paraId="505B9BE8">
      <w:pPr>
        <w:numPr>
          <w:ilvl w:val="0"/>
          <w:numId w:val="0"/>
        </w:numPr>
        <w:ind w:firstLine="706" w:firstLineChars="200"/>
        <w:rPr>
          <w:rFonts w:hint="eastAsia" w:cs="方正仿宋_GBK"/>
          <w:lang w:val="en-US" w:eastAsia="zh-CN"/>
        </w:rPr>
      </w:pPr>
    </w:p>
    <w:p w14:paraId="6F9D087D">
      <w:pPr>
        <w:numPr>
          <w:ilvl w:val="0"/>
          <w:numId w:val="0"/>
        </w:numPr>
        <w:ind w:firstLine="706" w:firstLineChars="200"/>
        <w:rPr>
          <w:rFonts w:hint="default" w:cs="方正仿宋_GBK"/>
          <w:lang w:val="en-US" w:eastAsia="zh-CN"/>
        </w:rPr>
      </w:pPr>
    </w:p>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2098" w:right="1531" w:bottom="1134" w:left="1531" w:header="0" w:footer="737" w:gutter="0"/>
      <w:pgNumType w:start="1"/>
      <w:cols w:space="425" w:num="1"/>
      <w:docGrid w:type="linesAndChars" w:linePitch="647" w:charSpace="69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06"/>
      </w:pPr>
      <w:r>
        <w:separator/>
      </w:r>
    </w:p>
  </w:endnote>
  <w:endnote w:type="continuationSeparator" w:id="1">
    <w:p>
      <w:pPr>
        <w:spacing w:line="240" w:lineRule="auto"/>
        <w:ind w:firstLine="70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汉仪中宋简"/>
    <w:panose1 w:val="02010600030101010101"/>
    <w:charset w:val="86"/>
    <w:family w:val="auto"/>
    <w:pitch w:val="default"/>
    <w:sig w:usb0="00000000" w:usb1="00000000" w:usb2="00000000" w:usb3="00000000" w:csb0="00160000" w:csb1="00000000"/>
  </w:font>
  <w:font w:name="汉仪中宋简">
    <w:panose1 w:val="02010600000101010101"/>
    <w:charset w:val="86"/>
    <w:family w:val="auto"/>
    <w:pitch w:val="default"/>
    <w:sig w:usb0="00000001" w:usb1="080E0800" w:usb2="00000002" w:usb3="00000000" w:csb0="00040000" w:csb1="00000000"/>
  </w:font>
  <w:font w:name="Calibri Light">
    <w:altName w:val="DejaVu Sans"/>
    <w:panose1 w:val="020F0502020204030204"/>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00" w:usb3="00000000" w:csb0="00160000" w:csb1="00000000"/>
  </w:font>
  <w:font w:name="文泉驿微米黑">
    <w:panose1 w:val="020B0606030804020204"/>
    <w:charset w:val="86"/>
    <w:family w:val="auto"/>
    <w:pitch w:val="default"/>
    <w:sig w:usb0="E10002EF" w:usb1="6BDFFCFB" w:usb2="00800036" w:usb3="00000000" w:csb0="603E019F" w:csb1="DFD70000"/>
  </w:font>
  <w:font w:name="Noto Sans CJK JP Bold">
    <w:panose1 w:val="020B0800000000000000"/>
    <w:charset w:val="86"/>
    <w:family w:val="auto"/>
    <w:pitch w:val="default"/>
    <w:sig w:usb0="30000003" w:usb1="2BDF3C10" w:usb2="00000016" w:usb3="00000000" w:csb0="602E0107"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宋体" w:hAnsi="宋体"/>
      </w:rPr>
    </w:sdtEndPr>
    <w:sdtContent>
      <w:p w14:paraId="2A51F961">
        <w:pPr>
          <w:pStyle w:val="9"/>
          <w:ind w:right="320" w:firstLine="640"/>
          <w:rPr>
            <w:rFonts w:ascii="宋体" w:hAnsi="宋体"/>
          </w:rPr>
        </w:pPr>
        <w:r>
          <w:rPr>
            <w:rFonts w:ascii="宋体" w:hAnsi="宋体"/>
          </w:rPr>
          <w:t>— </w:t>
        </w: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r>
          <w:rPr>
            <w:rFonts w:ascii="宋体" w:hAnsi="宋体"/>
          </w:rPr>
          <w:t>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6198F">
    <w:pPr>
      <w:pStyle w:val="33"/>
      <w:ind w:firstLine="280"/>
      <w:rPr>
        <w:rFonts w:ascii="宋体" w:hAnsi="宋体"/>
        <w:szCs w:val="28"/>
      </w:rPr>
    </w:pPr>
    <w:r>
      <w:rPr>
        <w:rFonts w:ascii="宋体" w:hAnsi="宋体"/>
        <w:szCs w:val="28"/>
      </w:rPr>
      <w:t>— </w:t>
    </w:r>
    <w:r>
      <w:rPr>
        <w:rFonts w:ascii="宋体" w:hAnsi="宋体"/>
        <w:szCs w:val="28"/>
      </w:rPr>
      <w:fldChar w:fldCharType="begin"/>
    </w:r>
    <w:r>
      <w:rPr>
        <w:rFonts w:ascii="宋体" w:hAnsi="宋体"/>
        <w:szCs w:val="28"/>
      </w:rPr>
      <w:instrText xml:space="preserve">PAGE   \* MERGEFORMAT</w:instrText>
    </w:r>
    <w:r>
      <w:rPr>
        <w:rFonts w:ascii="宋体" w:hAnsi="宋体"/>
        <w:szCs w:val="28"/>
      </w:rPr>
      <w:fldChar w:fldCharType="separate"/>
    </w:r>
    <w:r>
      <w:rPr>
        <w:rFonts w:ascii="宋体" w:hAnsi="宋体"/>
        <w:szCs w:val="28"/>
        <w:lang w:val="zh-CN"/>
      </w:rPr>
      <w:t>1</w:t>
    </w:r>
    <w:r>
      <w:rPr>
        <w:rFonts w:ascii="宋体" w:hAnsi="宋体"/>
        <w:szCs w:val="28"/>
      </w:rPr>
      <w:fldChar w:fldCharType="end"/>
    </w:r>
    <w:r>
      <w:rPr>
        <w:rFonts w:ascii="宋体" w:hAnsi="宋体"/>
        <w:szCs w:val="28"/>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863D3">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06"/>
      </w:pPr>
      <w:r>
        <w:separator/>
      </w:r>
    </w:p>
  </w:footnote>
  <w:footnote w:type="continuationSeparator" w:id="1">
    <w:p>
      <w:pPr>
        <w:spacing w:line="240" w:lineRule="auto"/>
        <w:ind w:firstLine="70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C059B">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3A5F1">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E2DE1">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E7E9C"/>
    <w:multiLevelType w:val="singleLevel"/>
    <w:tmpl w:val="F3FE7E9C"/>
    <w:lvl w:ilvl="0" w:tentative="0">
      <w:start w:val="6"/>
      <w:numFmt w:val="chineseCounting"/>
      <w:suff w:val="nothing"/>
      <w:lvlText w:val="%1、"/>
      <w:lvlJc w:val="left"/>
      <w:rPr>
        <w:rFonts w:hint="eastAsia"/>
      </w:rPr>
    </w:lvl>
  </w:abstractNum>
  <w:abstractNum w:abstractNumId="1">
    <w:nsid w:val="01303F63"/>
    <w:multiLevelType w:val="multilevel"/>
    <w:tmpl w:val="01303F63"/>
    <w:lvl w:ilvl="0" w:tentative="0">
      <w:start w:val="1"/>
      <w:numFmt w:val="chineseCountingThousand"/>
      <w:pStyle w:val="17"/>
      <w:suff w:val="nothing"/>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F743F0C"/>
    <w:multiLevelType w:val="multilevel"/>
    <w:tmpl w:val="2F743F0C"/>
    <w:lvl w:ilvl="0" w:tentative="0">
      <w:start w:val="1"/>
      <w:numFmt w:val="chineseCountingThousand"/>
      <w:pStyle w:val="21"/>
      <w:suff w:val="nothing"/>
      <w:lvlText w:val="（%1）"/>
      <w:lvlJc w:val="left"/>
      <w:pPr>
        <w:ind w:left="1050" w:hanging="420"/>
      </w:pPr>
      <w:rPr>
        <w:rFonts w:hint="eastAsia" w:eastAsia="方正楷体_GBK"/>
        <w:b w:val="0"/>
        <w:i w:val="0"/>
        <w:sz w:val="32"/>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3">
    <w:nsid w:val="52C217A0"/>
    <w:multiLevelType w:val="multilevel"/>
    <w:tmpl w:val="52C217A0"/>
    <w:lvl w:ilvl="0" w:tentative="0">
      <w:start w:val="1"/>
      <w:numFmt w:val="decimal"/>
      <w:pStyle w:val="23"/>
      <w:suff w:val="nothing"/>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6603A13"/>
    <w:multiLevelType w:val="multilevel"/>
    <w:tmpl w:val="66603A13"/>
    <w:lvl w:ilvl="0" w:tentative="0">
      <w:start w:val="1"/>
      <w:numFmt w:val="decimal"/>
      <w:pStyle w:val="25"/>
      <w:suff w:val="nothing"/>
      <w:lvlText w:val="（%1）"/>
      <w:lvlJc w:val="left"/>
      <w:pPr>
        <w:ind w:left="3113" w:hanging="420"/>
      </w:pPr>
    </w:lvl>
    <w:lvl w:ilvl="1" w:tentative="0">
      <w:start w:val="1"/>
      <w:numFmt w:val="lowerLetter"/>
      <w:lvlText w:val="%2)"/>
      <w:lvlJc w:val="left"/>
      <w:pPr>
        <w:ind w:left="3533" w:hanging="420"/>
      </w:pPr>
    </w:lvl>
    <w:lvl w:ilvl="2" w:tentative="0">
      <w:start w:val="1"/>
      <w:numFmt w:val="lowerRoman"/>
      <w:lvlText w:val="%3."/>
      <w:lvlJc w:val="right"/>
      <w:pPr>
        <w:ind w:left="3953" w:hanging="420"/>
      </w:pPr>
    </w:lvl>
    <w:lvl w:ilvl="3" w:tentative="0">
      <w:start w:val="1"/>
      <w:numFmt w:val="decimal"/>
      <w:lvlText w:val="%4."/>
      <w:lvlJc w:val="left"/>
      <w:pPr>
        <w:ind w:left="4373" w:hanging="420"/>
      </w:pPr>
    </w:lvl>
    <w:lvl w:ilvl="4" w:tentative="0">
      <w:start w:val="1"/>
      <w:numFmt w:val="lowerLetter"/>
      <w:lvlText w:val="%5)"/>
      <w:lvlJc w:val="left"/>
      <w:pPr>
        <w:ind w:left="4793" w:hanging="420"/>
      </w:pPr>
    </w:lvl>
    <w:lvl w:ilvl="5" w:tentative="0">
      <w:start w:val="1"/>
      <w:numFmt w:val="lowerRoman"/>
      <w:lvlText w:val="%6."/>
      <w:lvlJc w:val="right"/>
      <w:pPr>
        <w:ind w:left="5213" w:hanging="420"/>
      </w:pPr>
    </w:lvl>
    <w:lvl w:ilvl="6" w:tentative="0">
      <w:start w:val="1"/>
      <w:numFmt w:val="decimal"/>
      <w:lvlText w:val="%7."/>
      <w:lvlJc w:val="left"/>
      <w:pPr>
        <w:ind w:left="5633" w:hanging="420"/>
      </w:pPr>
    </w:lvl>
    <w:lvl w:ilvl="7" w:tentative="0">
      <w:start w:val="1"/>
      <w:numFmt w:val="lowerLetter"/>
      <w:lvlText w:val="%8)"/>
      <w:lvlJc w:val="left"/>
      <w:pPr>
        <w:ind w:left="6053" w:hanging="420"/>
      </w:pPr>
    </w:lvl>
    <w:lvl w:ilvl="8" w:tentative="0">
      <w:start w:val="1"/>
      <w:numFmt w:val="lowerRoman"/>
      <w:lvlText w:val="%9."/>
      <w:lvlJc w:val="right"/>
      <w:pPr>
        <w:ind w:left="6473"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77"/>
  <w:drawingGridVerticalSpacing w:val="647"/>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jZGNmYzA1NzM4N2IxMzMxOWUwM2NkMzcxZDExZWMifQ=="/>
  </w:docVars>
  <w:rsids>
    <w:rsidRoot w:val="40217102"/>
    <w:rsid w:val="00027A87"/>
    <w:rsid w:val="000328FF"/>
    <w:rsid w:val="00041C6B"/>
    <w:rsid w:val="00095508"/>
    <w:rsid w:val="000A4106"/>
    <w:rsid w:val="000B1F4D"/>
    <w:rsid w:val="000B7EA8"/>
    <w:rsid w:val="00150FC2"/>
    <w:rsid w:val="0015529D"/>
    <w:rsid w:val="00162EA4"/>
    <w:rsid w:val="00170095"/>
    <w:rsid w:val="001B4DDE"/>
    <w:rsid w:val="001D0B86"/>
    <w:rsid w:val="001D6F16"/>
    <w:rsid w:val="001E1AAC"/>
    <w:rsid w:val="001F362C"/>
    <w:rsid w:val="00207A19"/>
    <w:rsid w:val="00225F02"/>
    <w:rsid w:val="002368C7"/>
    <w:rsid w:val="00251F0F"/>
    <w:rsid w:val="00274A37"/>
    <w:rsid w:val="0027549E"/>
    <w:rsid w:val="00324AFA"/>
    <w:rsid w:val="00395614"/>
    <w:rsid w:val="003A12DC"/>
    <w:rsid w:val="003F19FF"/>
    <w:rsid w:val="003F2DC6"/>
    <w:rsid w:val="003F403F"/>
    <w:rsid w:val="00410E60"/>
    <w:rsid w:val="00415C75"/>
    <w:rsid w:val="00464DE8"/>
    <w:rsid w:val="004C32EB"/>
    <w:rsid w:val="00535F68"/>
    <w:rsid w:val="0055313A"/>
    <w:rsid w:val="00566136"/>
    <w:rsid w:val="005B1970"/>
    <w:rsid w:val="005B1D98"/>
    <w:rsid w:val="005B4247"/>
    <w:rsid w:val="005E0DB3"/>
    <w:rsid w:val="00617DAC"/>
    <w:rsid w:val="00681DCC"/>
    <w:rsid w:val="006D449F"/>
    <w:rsid w:val="006F6AE3"/>
    <w:rsid w:val="00760897"/>
    <w:rsid w:val="00780B3B"/>
    <w:rsid w:val="00783352"/>
    <w:rsid w:val="007930BD"/>
    <w:rsid w:val="007A6308"/>
    <w:rsid w:val="007B02E2"/>
    <w:rsid w:val="007D082B"/>
    <w:rsid w:val="007F2AB4"/>
    <w:rsid w:val="00815650"/>
    <w:rsid w:val="008467FF"/>
    <w:rsid w:val="008A11E7"/>
    <w:rsid w:val="008A2806"/>
    <w:rsid w:val="008B7BFD"/>
    <w:rsid w:val="008C4608"/>
    <w:rsid w:val="00913DAC"/>
    <w:rsid w:val="009472A1"/>
    <w:rsid w:val="00972886"/>
    <w:rsid w:val="009A0FDA"/>
    <w:rsid w:val="009B0CB4"/>
    <w:rsid w:val="009E18B6"/>
    <w:rsid w:val="009F1AFC"/>
    <w:rsid w:val="00A07FEE"/>
    <w:rsid w:val="00A134EE"/>
    <w:rsid w:val="00A61D5A"/>
    <w:rsid w:val="00A833DC"/>
    <w:rsid w:val="00AA20BD"/>
    <w:rsid w:val="00AA4A86"/>
    <w:rsid w:val="00AB168D"/>
    <w:rsid w:val="00AB379C"/>
    <w:rsid w:val="00AF0269"/>
    <w:rsid w:val="00AF3B85"/>
    <w:rsid w:val="00B363B3"/>
    <w:rsid w:val="00B416A6"/>
    <w:rsid w:val="00B6349F"/>
    <w:rsid w:val="00B74E57"/>
    <w:rsid w:val="00BB01E8"/>
    <w:rsid w:val="00C06246"/>
    <w:rsid w:val="00C5379C"/>
    <w:rsid w:val="00CC6264"/>
    <w:rsid w:val="00CF4367"/>
    <w:rsid w:val="00D31DBD"/>
    <w:rsid w:val="00D43E69"/>
    <w:rsid w:val="00D674BF"/>
    <w:rsid w:val="00D9402F"/>
    <w:rsid w:val="00DB116C"/>
    <w:rsid w:val="00DF60BF"/>
    <w:rsid w:val="00EE13E1"/>
    <w:rsid w:val="00F320D5"/>
    <w:rsid w:val="00F66BEE"/>
    <w:rsid w:val="00F874B2"/>
    <w:rsid w:val="00F94973"/>
    <w:rsid w:val="00FC6B32"/>
    <w:rsid w:val="00FD001C"/>
    <w:rsid w:val="00FF603E"/>
    <w:rsid w:val="1F5798BF"/>
    <w:rsid w:val="2D15B83B"/>
    <w:rsid w:val="3DA7F5A7"/>
    <w:rsid w:val="3FF73CD4"/>
    <w:rsid w:val="3FFFFFF9"/>
    <w:rsid w:val="40217102"/>
    <w:rsid w:val="480D3F42"/>
    <w:rsid w:val="5FAEE6FF"/>
    <w:rsid w:val="63DD4F76"/>
    <w:rsid w:val="6BBBF057"/>
    <w:rsid w:val="6D5B8CDD"/>
    <w:rsid w:val="6FBB9050"/>
    <w:rsid w:val="73789659"/>
    <w:rsid w:val="75EFCDB3"/>
    <w:rsid w:val="7BB3BAD1"/>
    <w:rsid w:val="7BE7811B"/>
    <w:rsid w:val="BBFF2D42"/>
    <w:rsid w:val="BFEDBEF4"/>
    <w:rsid w:val="DFBEA4BF"/>
    <w:rsid w:val="DFF9FD26"/>
    <w:rsid w:val="E66796F8"/>
    <w:rsid w:val="ECDE2E25"/>
    <w:rsid w:val="EF7C1C57"/>
    <w:rsid w:val="EFBF7B6E"/>
    <w:rsid w:val="F3F7F02E"/>
    <w:rsid w:val="F9E5666C"/>
    <w:rsid w:val="FB8F02D7"/>
    <w:rsid w:val="FB9BB19E"/>
    <w:rsid w:val="FFC9DFB8"/>
    <w:rsid w:val="FFFDF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200" w:firstLineChars="200"/>
      <w:jc w:val="both"/>
    </w:pPr>
    <w:rPr>
      <w:rFonts w:ascii="方正仿宋_GBK" w:hAnsi="方正仿宋_GBK" w:eastAsia="方正仿宋_GBK" w:cs="Times New Roman"/>
      <w:kern w:val="2"/>
      <w:sz w:val="32"/>
      <w:szCs w:val="3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等线 Light" w:hAnsi="等线 Light" w:eastAsia="等线 Light"/>
      <w:b/>
      <w:bCs/>
    </w:rPr>
  </w:style>
  <w:style w:type="paragraph" w:styleId="4">
    <w:name w:val="heading 3"/>
    <w:basedOn w:val="1"/>
    <w:next w:val="1"/>
    <w:link w:val="20"/>
    <w:unhideWhenUsed/>
    <w:qFormat/>
    <w:uiPriority w:val="9"/>
    <w:pPr>
      <w:keepNext/>
      <w:keepLines/>
      <w:spacing w:before="260" w:after="260" w:line="416" w:lineRule="auto"/>
      <w:outlineLvl w:val="2"/>
    </w:pPr>
    <w:rPr>
      <w:b/>
      <w:bCs/>
    </w:rPr>
  </w:style>
  <w:style w:type="paragraph" w:styleId="5">
    <w:name w:val="heading 4"/>
    <w:basedOn w:val="1"/>
    <w:next w:val="1"/>
    <w:link w:val="32"/>
    <w:semiHidden/>
    <w:unhideWhenUsed/>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annotation text"/>
    <w:basedOn w:val="1"/>
    <w:unhideWhenUsed/>
    <w:qFormat/>
    <w:uiPriority w:val="99"/>
    <w:pPr>
      <w:jc w:val="left"/>
    </w:pPr>
  </w:style>
  <w:style w:type="paragraph" w:styleId="8">
    <w:name w:val="toc 3"/>
    <w:basedOn w:val="1"/>
    <w:next w:val="1"/>
    <w:unhideWhenUsed/>
    <w:qFormat/>
    <w:uiPriority w:val="39"/>
    <w:pPr>
      <w:tabs>
        <w:tab w:val="right" w:leader="dot" w:pos="8834"/>
      </w:tabs>
      <w:ind w:left="1415" w:leftChars="400" w:firstLine="0" w:firstLineChars="0"/>
    </w:pPr>
    <w:rPr>
      <w:sz w:val="30"/>
    </w:rPr>
  </w:style>
  <w:style w:type="paragraph" w:styleId="9">
    <w:name w:val="footer"/>
    <w:basedOn w:val="1"/>
    <w:link w:val="27"/>
    <w:unhideWhenUsed/>
    <w:qFormat/>
    <w:uiPriority w:val="99"/>
    <w:pPr>
      <w:tabs>
        <w:tab w:val="center" w:pos="4153"/>
        <w:tab w:val="right" w:pos="8306"/>
      </w:tabs>
      <w:snapToGrid w:val="0"/>
      <w:spacing w:line="240" w:lineRule="auto"/>
      <w:ind w:right="100" w:rightChars="100" w:firstLine="0" w:firstLineChars="0"/>
      <w:jc w:val="right"/>
    </w:pPr>
    <w:rPr>
      <w:rFonts w:eastAsia="宋体"/>
      <w:sz w:val="28"/>
      <w:szCs w:val="18"/>
    </w:rPr>
  </w:style>
  <w:style w:type="paragraph" w:styleId="10">
    <w:name w:val="toc 1"/>
    <w:basedOn w:val="1"/>
    <w:next w:val="1"/>
    <w:unhideWhenUsed/>
    <w:qFormat/>
    <w:uiPriority w:val="39"/>
    <w:pPr>
      <w:tabs>
        <w:tab w:val="right" w:leader="dot" w:pos="8834"/>
      </w:tabs>
      <w:ind w:firstLine="0" w:firstLineChars="0"/>
    </w:pPr>
    <w:rPr>
      <w:sz w:val="30"/>
    </w:rPr>
  </w:style>
  <w:style w:type="paragraph" w:styleId="11">
    <w:name w:val="table of figures"/>
    <w:basedOn w:val="1"/>
    <w:next w:val="1"/>
    <w:unhideWhenUsed/>
    <w:qFormat/>
    <w:uiPriority w:val="99"/>
    <w:pPr>
      <w:ind w:firstLine="0" w:firstLineChars="0"/>
    </w:pPr>
    <w:rPr>
      <w:sz w:val="30"/>
    </w:rPr>
  </w:style>
  <w:style w:type="paragraph" w:styleId="12">
    <w:name w:val="toc 2"/>
    <w:basedOn w:val="1"/>
    <w:next w:val="1"/>
    <w:unhideWhenUsed/>
    <w:qFormat/>
    <w:uiPriority w:val="39"/>
    <w:pPr>
      <w:tabs>
        <w:tab w:val="right" w:leader="dot" w:pos="8834"/>
      </w:tabs>
      <w:ind w:left="200" w:leftChars="200" w:firstLine="0" w:firstLineChars="0"/>
    </w:pPr>
    <w:rPr>
      <w:sz w:val="30"/>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26E5" w:themeColor="hyperlink"/>
      <w:u w:val="single"/>
      <w14:textFill>
        <w14:solidFill>
          <w14:schemeClr w14:val="hlink"/>
        </w14:solidFill>
      </w14:textFill>
    </w:rPr>
  </w:style>
  <w:style w:type="paragraph" w:customStyle="1" w:styleId="17">
    <w:name w:val="1政文标题"/>
    <w:basedOn w:val="1"/>
    <w:next w:val="1"/>
    <w:qFormat/>
    <w:uiPriority w:val="0"/>
    <w:pPr>
      <w:numPr>
        <w:ilvl w:val="0"/>
        <w:numId w:val="1"/>
      </w:numPr>
      <w:ind w:left="0" w:firstLine="708"/>
      <w:outlineLvl w:val="0"/>
    </w:pPr>
    <w:rPr>
      <w:rFonts w:ascii="方正黑体_GBK" w:hAnsi="DejaVu Sans" w:eastAsia="方正黑体_GBK"/>
      <w:bCs/>
      <w:szCs w:val="24"/>
    </w:rPr>
  </w:style>
  <w:style w:type="character" w:customStyle="1" w:styleId="18">
    <w:name w:val="标题 1 字符"/>
    <w:link w:val="2"/>
    <w:qFormat/>
    <w:uiPriority w:val="9"/>
    <w:rPr>
      <w:rFonts w:ascii="方正仿宋_GBK" w:hAnsi="方正仿宋_GBK" w:eastAsia="方正仿宋_GBK" w:cs="Times New Roman"/>
      <w:b/>
      <w:bCs/>
      <w:kern w:val="44"/>
      <w:sz w:val="44"/>
      <w:szCs w:val="44"/>
    </w:rPr>
  </w:style>
  <w:style w:type="character" w:customStyle="1" w:styleId="19">
    <w:name w:val="标题 2 字符"/>
    <w:link w:val="3"/>
    <w:qFormat/>
    <w:uiPriority w:val="9"/>
    <w:rPr>
      <w:rFonts w:ascii="等线 Light" w:hAnsi="等线 Light" w:eastAsia="等线 Light" w:cs="Times New Roman"/>
      <w:b/>
      <w:bCs/>
      <w:sz w:val="32"/>
      <w:szCs w:val="32"/>
    </w:rPr>
  </w:style>
  <w:style w:type="character" w:customStyle="1" w:styleId="20">
    <w:name w:val="标题 3 字符"/>
    <w:link w:val="4"/>
    <w:qFormat/>
    <w:uiPriority w:val="9"/>
    <w:rPr>
      <w:rFonts w:ascii="方正仿宋_GBK" w:hAnsi="方正仿宋_GBK" w:eastAsia="方正仿宋_GBK" w:cs="Times New Roman"/>
      <w:b/>
      <w:bCs/>
      <w:sz w:val="32"/>
      <w:szCs w:val="32"/>
    </w:rPr>
  </w:style>
  <w:style w:type="paragraph" w:customStyle="1" w:styleId="21">
    <w:name w:val="2政文标题"/>
    <w:basedOn w:val="1"/>
    <w:next w:val="1"/>
    <w:link w:val="22"/>
    <w:qFormat/>
    <w:uiPriority w:val="0"/>
    <w:pPr>
      <w:numPr>
        <w:ilvl w:val="0"/>
        <w:numId w:val="2"/>
      </w:numPr>
      <w:ind w:left="0" w:firstLine="708"/>
      <w:outlineLvl w:val="1"/>
    </w:pPr>
    <w:rPr>
      <w:rFonts w:ascii="方正楷体_GBK" w:hAnsi="方正楷体_GBK" w:eastAsia="方正楷体_GBK" w:cs="方正楷体_GBK"/>
      <w:bCs/>
    </w:rPr>
  </w:style>
  <w:style w:type="character" w:customStyle="1" w:styleId="22">
    <w:name w:val="2政文标题 字符"/>
    <w:link w:val="21"/>
    <w:qFormat/>
    <w:uiPriority w:val="0"/>
    <w:rPr>
      <w:rFonts w:ascii="方正楷体_GBK" w:hAnsi="方正楷体_GBK" w:eastAsia="方正楷体_GBK" w:cs="方正楷体_GBK"/>
      <w:bCs/>
      <w:sz w:val="32"/>
      <w:szCs w:val="32"/>
    </w:rPr>
  </w:style>
  <w:style w:type="paragraph" w:customStyle="1" w:styleId="23">
    <w:name w:val="3政文标题"/>
    <w:basedOn w:val="1"/>
    <w:next w:val="1"/>
    <w:link w:val="24"/>
    <w:qFormat/>
    <w:uiPriority w:val="0"/>
    <w:pPr>
      <w:numPr>
        <w:ilvl w:val="0"/>
        <w:numId w:val="3"/>
      </w:numPr>
      <w:ind w:left="0" w:firstLine="200"/>
      <w:outlineLvl w:val="2"/>
    </w:pPr>
  </w:style>
  <w:style w:type="character" w:customStyle="1" w:styleId="24">
    <w:name w:val="3政文标题 字符"/>
    <w:link w:val="23"/>
    <w:qFormat/>
    <w:uiPriority w:val="0"/>
    <w:rPr>
      <w:rFonts w:ascii="方正仿宋_GBK" w:hAnsi="方正仿宋_GBK" w:eastAsia="方正仿宋_GBK" w:cs="Times New Roman"/>
      <w:sz w:val="32"/>
      <w:szCs w:val="32"/>
    </w:rPr>
  </w:style>
  <w:style w:type="paragraph" w:customStyle="1" w:styleId="25">
    <w:name w:val="4政文标题"/>
    <w:basedOn w:val="1"/>
    <w:next w:val="1"/>
    <w:link w:val="26"/>
    <w:qFormat/>
    <w:uiPriority w:val="0"/>
    <w:pPr>
      <w:numPr>
        <w:ilvl w:val="0"/>
        <w:numId w:val="4"/>
      </w:numPr>
      <w:ind w:left="0" w:firstLine="200"/>
      <w:outlineLvl w:val="3"/>
    </w:pPr>
  </w:style>
  <w:style w:type="character" w:customStyle="1" w:styleId="26">
    <w:name w:val="4政文标题 字符"/>
    <w:link w:val="25"/>
    <w:qFormat/>
    <w:uiPriority w:val="0"/>
    <w:rPr>
      <w:rFonts w:ascii="方正仿宋_GBK" w:hAnsi="方正仿宋_GBK" w:eastAsia="方正仿宋_GBK" w:cs="Times New Roman"/>
      <w:sz w:val="32"/>
      <w:szCs w:val="32"/>
    </w:rPr>
  </w:style>
  <w:style w:type="character" w:customStyle="1" w:styleId="27">
    <w:name w:val="页脚 字符"/>
    <w:link w:val="9"/>
    <w:qFormat/>
    <w:uiPriority w:val="99"/>
    <w:rPr>
      <w:rFonts w:ascii="方正仿宋_GBK" w:hAnsi="方正仿宋_GBK" w:eastAsia="宋体" w:cs="Times New Roman"/>
      <w:sz w:val="28"/>
      <w:szCs w:val="18"/>
    </w:rPr>
  </w:style>
  <w:style w:type="paragraph" w:customStyle="1" w:styleId="28">
    <w:name w:val="政文大标题"/>
    <w:basedOn w:val="1"/>
    <w:next w:val="1"/>
    <w:link w:val="29"/>
    <w:qFormat/>
    <w:uiPriority w:val="0"/>
    <w:pPr>
      <w:spacing w:line="700" w:lineRule="exact"/>
      <w:ind w:firstLine="0" w:firstLineChars="0"/>
      <w:jc w:val="center"/>
    </w:pPr>
    <w:rPr>
      <w:rFonts w:ascii="方正小标宋_GBK" w:hAnsi="方正小标宋_GBK" w:eastAsia="方正小标宋_GBK" w:cs="方正小标宋_GBK"/>
      <w:sz w:val="44"/>
      <w:szCs w:val="44"/>
    </w:rPr>
  </w:style>
  <w:style w:type="character" w:customStyle="1" w:styleId="29">
    <w:name w:val="政文大标题 字符"/>
    <w:link w:val="28"/>
    <w:qFormat/>
    <w:uiPriority w:val="0"/>
    <w:rPr>
      <w:rFonts w:ascii="方正小标宋_GBK" w:hAnsi="方正小标宋_GBK" w:eastAsia="方正小标宋_GBK" w:cs="方正小标宋_GBK"/>
      <w:sz w:val="44"/>
      <w:szCs w:val="44"/>
    </w:rPr>
  </w:style>
  <w:style w:type="paragraph" w:customStyle="1" w:styleId="30">
    <w:name w:val="政文题注"/>
    <w:basedOn w:val="6"/>
    <w:link w:val="31"/>
    <w:qFormat/>
    <w:uiPriority w:val="0"/>
    <w:pPr>
      <w:ind w:firstLine="0" w:firstLineChars="0"/>
      <w:jc w:val="center"/>
    </w:pPr>
    <w:rPr>
      <w:rFonts w:ascii="方正楷体_GBK" w:hAnsi="方正楷体_GBK" w:eastAsia="方正楷体_GBK" w:cs="楷体"/>
      <w:sz w:val="32"/>
      <w:szCs w:val="32"/>
    </w:rPr>
  </w:style>
  <w:style w:type="character" w:customStyle="1" w:styleId="31">
    <w:name w:val="政文题注 字符"/>
    <w:link w:val="30"/>
    <w:qFormat/>
    <w:uiPriority w:val="0"/>
    <w:rPr>
      <w:rFonts w:ascii="方正楷体_GBK" w:hAnsi="方正楷体_GBK" w:eastAsia="方正楷体_GBK" w:cs="楷体"/>
      <w:sz w:val="32"/>
      <w:szCs w:val="32"/>
    </w:rPr>
  </w:style>
  <w:style w:type="character" w:customStyle="1" w:styleId="32">
    <w:name w:val="标题 4 字符"/>
    <w:link w:val="5"/>
    <w:semiHidden/>
    <w:qFormat/>
    <w:uiPriority w:val="9"/>
    <w:rPr>
      <w:rFonts w:ascii="等线 Light" w:hAnsi="等线 Light" w:eastAsia="等线 Light" w:cs="Times New Roman"/>
      <w:b/>
      <w:bCs/>
      <w:sz w:val="28"/>
      <w:szCs w:val="28"/>
    </w:rPr>
  </w:style>
  <w:style w:type="paragraph" w:customStyle="1" w:styleId="33">
    <w:name w:val="偶数页脚"/>
    <w:basedOn w:val="9"/>
    <w:link w:val="34"/>
    <w:qFormat/>
    <w:uiPriority w:val="0"/>
    <w:pPr>
      <w:ind w:right="0" w:rightChars="0" w:firstLine="100" w:firstLineChars="100"/>
      <w:jc w:val="left"/>
    </w:pPr>
  </w:style>
  <w:style w:type="character" w:customStyle="1" w:styleId="34">
    <w:name w:val="偶数页脚 字符"/>
    <w:basedOn w:val="27"/>
    <w:link w:val="33"/>
    <w:qFormat/>
    <w:uiPriority w:val="0"/>
    <w:rPr>
      <w:rFonts w:ascii="方正仿宋_GBK" w:hAnsi="方正仿宋_GBK" w:eastAsia="宋体" w:cs="Times New Roman"/>
      <w:sz w:val="28"/>
      <w:szCs w:val="18"/>
    </w:rPr>
  </w:style>
  <w:style w:type="paragraph" w:customStyle="1" w:styleId="35">
    <w:name w:val="表头样式"/>
    <w:basedOn w:val="1"/>
    <w:link w:val="37"/>
    <w:qFormat/>
    <w:uiPriority w:val="0"/>
    <w:pPr>
      <w:ind w:firstLine="0" w:firstLineChars="0"/>
      <w:jc w:val="center"/>
    </w:pPr>
    <w:rPr>
      <w:rFonts w:eastAsia="方正黑体_GBK"/>
      <w:sz w:val="30"/>
    </w:rPr>
  </w:style>
  <w:style w:type="paragraph" w:customStyle="1" w:styleId="36">
    <w:name w:val="表格样式"/>
    <w:basedOn w:val="1"/>
    <w:link w:val="38"/>
    <w:qFormat/>
    <w:uiPriority w:val="0"/>
    <w:pPr>
      <w:ind w:firstLine="0" w:firstLineChars="0"/>
      <w:jc w:val="center"/>
    </w:pPr>
    <w:rPr>
      <w:sz w:val="30"/>
    </w:rPr>
  </w:style>
  <w:style w:type="character" w:customStyle="1" w:styleId="37">
    <w:name w:val="表头样式 字符"/>
    <w:basedOn w:val="15"/>
    <w:link w:val="35"/>
    <w:qFormat/>
    <w:uiPriority w:val="0"/>
    <w:rPr>
      <w:rFonts w:ascii="方正仿宋_GBK" w:hAnsi="方正仿宋_GBK" w:eastAsia="方正黑体_GBK" w:cs="Times New Roman"/>
      <w:sz w:val="30"/>
      <w:szCs w:val="32"/>
    </w:rPr>
  </w:style>
  <w:style w:type="character" w:customStyle="1" w:styleId="38">
    <w:name w:val="表格样式 字符"/>
    <w:basedOn w:val="15"/>
    <w:link w:val="36"/>
    <w:qFormat/>
    <w:uiPriority w:val="0"/>
    <w:rPr>
      <w:rFonts w:ascii="方正仿宋_GBK" w:hAnsi="方正仿宋_GBK" w:eastAsia="方正仿宋_GBK" w:cs="Times New Roman"/>
      <w:sz w:val="30"/>
      <w:szCs w:val="32"/>
    </w:rPr>
  </w:style>
  <w:style w:type="paragraph" w:customStyle="1" w:styleId="39">
    <w:name w:val="TOC Heading"/>
    <w:basedOn w:val="2"/>
    <w:next w:val="1"/>
    <w:unhideWhenUsed/>
    <w:qFormat/>
    <w:uiPriority w:val="39"/>
    <w:pPr>
      <w:widowControl/>
      <w:spacing w:before="0" w:after="0" w:line="579" w:lineRule="exact"/>
      <w:ind w:firstLine="0" w:firstLineChars="0"/>
      <w:jc w:val="center"/>
      <w:outlineLvl w:val="9"/>
    </w:pPr>
    <w:rPr>
      <w:rFonts w:eastAsia="方正小标宋_GBK" w:asciiTheme="majorHAnsi" w:hAnsiTheme="majorHAnsi" w:cstheme="majorBidi"/>
      <w:b w:val="0"/>
      <w:bCs w:val="0"/>
      <w:kern w:val="0"/>
      <w:szCs w:val="32"/>
    </w:rPr>
  </w:style>
  <w:style w:type="character" w:customStyle="1" w:styleId="40">
    <w:name w:val="Book Title"/>
    <w:basedOn w:val="15"/>
    <w:qFormat/>
    <w:uiPriority w:val="33"/>
    <w:rPr>
      <w:b/>
      <w:bCs/>
      <w:i/>
      <w:iCs/>
      <w:spacing w:val="5"/>
    </w:rPr>
  </w:style>
  <w:style w:type="table" w:customStyle="1" w:styleId="41">
    <w:name w:val="Plain Table 1"/>
    <w:basedOn w:val="13"/>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2">
    <w:name w:val="Plain Table 5"/>
    <w:basedOn w:val="13"/>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3">
    <w:name w:val="Grid Table 1 Light"/>
    <w:basedOn w:val="1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2024-03-18T18:55:00Z</dcterms:created>
  <dc:creator>66</dc:creator>
  <cp:lastModifiedBy>scj</cp:lastModifiedBy>
  <dcterms:modified xsi:type="dcterms:W3CDTF">2026-04-10T10:23:19Z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FE4A420D215FA51C74AEBC699005FC88_43</vt:lpwstr>
  </property>
  <property fmtid="{D5CDD505-2E9C-101B-9397-08002B2CF9AE}" pid="3" name="KSOProductBuildVer">
    <vt:lpwstr>2052-12.8.2.1119</vt:lpwstr>
  </property>
</Properties>
</file>