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0D0042">
      <w:pPr>
        <w:jc w:val="center"/>
        <w:rPr>
          <w:rFonts w:hint="eastAsia" w:ascii="宋体" w:hAnsi="宋体" w:eastAsia="宋体" w:cs="宋体"/>
          <w:b/>
          <w:color w:val="auto"/>
          <w:kern w:val="1"/>
          <w:sz w:val="40"/>
          <w:szCs w:val="40"/>
          <w:lang w:val="en-US" w:eastAsia="zh-CN"/>
        </w:rPr>
      </w:pPr>
      <w:r>
        <w:rPr>
          <w:rFonts w:hint="eastAsia" w:ascii="宋体" w:hAnsi="宋体" w:eastAsia="宋体" w:cs="宋体"/>
          <w:b/>
          <w:color w:val="auto"/>
          <w:kern w:val="1"/>
          <w:sz w:val="40"/>
          <w:szCs w:val="40"/>
        </w:rPr>
        <w:t>天门市</w:t>
      </w:r>
      <w:r>
        <w:rPr>
          <w:rFonts w:hint="eastAsia" w:ascii="宋体" w:hAnsi="宋体" w:eastAsia="宋体" w:cs="宋体"/>
          <w:b/>
          <w:color w:val="auto"/>
          <w:kern w:val="1"/>
          <w:sz w:val="40"/>
          <w:szCs w:val="40"/>
          <w:lang w:val="en-US" w:eastAsia="zh-CN"/>
        </w:rPr>
        <w:t>12345公共服务热线中心</w:t>
      </w:r>
    </w:p>
    <w:p w14:paraId="61F4D248">
      <w:pPr>
        <w:jc w:val="center"/>
        <w:rPr>
          <w:rFonts w:hint="eastAsia" w:ascii="宋体" w:hAnsi="宋体" w:eastAsia="宋体"/>
          <w:color w:val="auto"/>
          <w:sz w:val="40"/>
          <w:szCs w:val="40"/>
        </w:rPr>
      </w:pPr>
      <w:r>
        <w:rPr>
          <w:rFonts w:hint="eastAsia" w:ascii="宋体" w:hAnsi="宋体" w:eastAsia="宋体" w:cs="宋体"/>
          <w:b/>
          <w:color w:val="auto"/>
          <w:kern w:val="1"/>
          <w:sz w:val="40"/>
          <w:szCs w:val="40"/>
        </w:rPr>
        <w:t>202</w:t>
      </w:r>
      <w:r>
        <w:rPr>
          <w:rFonts w:hint="eastAsia" w:ascii="宋体" w:hAnsi="宋体" w:eastAsia="宋体" w:cs="宋体"/>
          <w:b/>
          <w:color w:val="auto"/>
          <w:kern w:val="1"/>
          <w:sz w:val="40"/>
          <w:szCs w:val="40"/>
          <w:lang w:val="en-US" w:eastAsia="zh-CN"/>
        </w:rPr>
        <w:t>6</w:t>
      </w:r>
      <w:r>
        <w:rPr>
          <w:rFonts w:hint="eastAsia" w:ascii="宋体" w:hAnsi="宋体" w:eastAsia="宋体" w:cs="宋体"/>
          <w:b/>
          <w:color w:val="auto"/>
          <w:kern w:val="1"/>
          <w:sz w:val="40"/>
          <w:szCs w:val="40"/>
        </w:rPr>
        <w:t>年部门预算公开</w:t>
      </w:r>
    </w:p>
    <w:p w14:paraId="4D21AE18">
      <w:pPr>
        <w:rPr>
          <w:rFonts w:hint="eastAsia" w:ascii="宋体" w:hAnsi="宋体" w:eastAsia="宋体"/>
          <w:color w:val="auto"/>
          <w:sz w:val="28"/>
          <w:szCs w:val="22"/>
        </w:rPr>
      </w:pPr>
    </w:p>
    <w:p w14:paraId="503CE98E">
      <w:pPr>
        <w:widowControl/>
        <w:shd w:val="clear" w:color="auto" w:fill="FFFFFF"/>
        <w:spacing w:line="360" w:lineRule="auto"/>
        <w:jc w:val="center"/>
        <w:rPr>
          <w:rFonts w:ascii="宋体" w:hAnsi="宋体" w:eastAsia="宋体" w:cs="宋体"/>
          <w:b/>
          <w:color w:val="auto"/>
          <w:kern w:val="1"/>
          <w:sz w:val="28"/>
          <w:szCs w:val="28"/>
        </w:rPr>
      </w:pPr>
      <w:r>
        <w:rPr>
          <w:rFonts w:hint="eastAsia" w:ascii="宋体" w:hAnsi="宋体" w:eastAsia="宋体" w:cs="宋体"/>
          <w:b/>
          <w:color w:val="auto"/>
          <w:kern w:val="1"/>
          <w:sz w:val="28"/>
          <w:szCs w:val="28"/>
        </w:rPr>
        <w:t>目　录</w:t>
      </w:r>
    </w:p>
    <w:p w14:paraId="2596C15B">
      <w:pPr>
        <w:widowControl/>
        <w:shd w:val="clear" w:color="auto" w:fill="FFFFFF"/>
        <w:spacing w:line="360" w:lineRule="auto"/>
        <w:jc w:val="left"/>
        <w:rPr>
          <w:rFonts w:hint="eastAsia" w:ascii="宋体" w:hAnsi="宋体" w:eastAsia="宋体" w:cs="宋体"/>
          <w:b/>
          <w:color w:val="auto"/>
          <w:kern w:val="1"/>
          <w:sz w:val="24"/>
          <w:szCs w:val="24"/>
        </w:rPr>
      </w:pPr>
      <w:r>
        <w:rPr>
          <w:rFonts w:hint="eastAsia" w:ascii="宋体" w:hAnsi="宋体" w:eastAsia="宋体" w:cs="宋体"/>
          <w:b/>
          <w:color w:val="auto"/>
          <w:kern w:val="1"/>
          <w:sz w:val="24"/>
          <w:szCs w:val="24"/>
        </w:rPr>
        <w:t>第一部分　部门概况</w:t>
      </w:r>
    </w:p>
    <w:p w14:paraId="081480B1">
      <w:pPr>
        <w:widowControl/>
        <w:shd w:val="clear" w:color="auto" w:fill="FFFFFF"/>
        <w:spacing w:line="360" w:lineRule="auto"/>
        <w:ind w:firstLine="273" w:firstLineChars="114"/>
        <w:jc w:val="left"/>
        <w:rPr>
          <w:rFonts w:hint="eastAsia" w:ascii="宋体" w:hAnsi="宋体" w:eastAsia="宋体" w:cs="宋体"/>
          <w:color w:val="auto"/>
          <w:kern w:val="1"/>
          <w:sz w:val="24"/>
          <w:szCs w:val="24"/>
        </w:rPr>
      </w:pPr>
      <w:r>
        <w:rPr>
          <w:rFonts w:hint="eastAsia" w:ascii="宋体" w:hAnsi="宋体" w:eastAsia="宋体" w:cs="宋体"/>
          <w:color w:val="auto"/>
          <w:kern w:val="1"/>
          <w:sz w:val="24"/>
          <w:szCs w:val="24"/>
        </w:rPr>
        <w:t>一、主要职责及机构设置情况</w:t>
      </w:r>
    </w:p>
    <w:p w14:paraId="6D39DDBF">
      <w:pPr>
        <w:widowControl/>
        <w:shd w:val="clear" w:color="auto" w:fill="FFFFFF"/>
        <w:spacing w:line="360" w:lineRule="auto"/>
        <w:ind w:firstLine="275" w:firstLineChars="114"/>
        <w:jc w:val="left"/>
        <w:rPr>
          <w:rFonts w:hint="eastAsia" w:ascii="宋体" w:hAnsi="宋体" w:eastAsia="宋体" w:cs="宋体"/>
          <w:color w:val="auto"/>
          <w:kern w:val="1"/>
          <w:sz w:val="24"/>
          <w:szCs w:val="24"/>
        </w:rPr>
      </w:pPr>
      <w:r>
        <w:rPr>
          <w:rFonts w:hint="eastAsia" w:ascii="宋体" w:hAnsi="宋体" w:eastAsia="宋体" w:cs="宋体"/>
          <w:b/>
          <w:color w:val="auto"/>
          <w:kern w:val="1"/>
          <w:sz w:val="24"/>
          <w:szCs w:val="24"/>
        </w:rPr>
        <w:t>二、</w:t>
      </w:r>
      <w:r>
        <w:rPr>
          <w:rFonts w:hint="eastAsia" w:ascii="宋体" w:hAnsi="宋体" w:eastAsia="宋体" w:cs="宋体"/>
          <w:color w:val="auto"/>
          <w:kern w:val="1"/>
          <w:sz w:val="24"/>
          <w:szCs w:val="24"/>
        </w:rPr>
        <w:t>部门预算单位构成</w:t>
      </w:r>
    </w:p>
    <w:p w14:paraId="442CCE00">
      <w:pPr>
        <w:widowControl/>
        <w:shd w:val="clear" w:color="auto" w:fill="FFFFFF"/>
        <w:spacing w:line="360" w:lineRule="auto"/>
        <w:ind w:firstLine="273" w:firstLineChars="114"/>
        <w:jc w:val="left"/>
        <w:rPr>
          <w:rFonts w:hint="eastAsia" w:ascii="宋体" w:hAnsi="宋体" w:eastAsia="宋体" w:cs="宋体"/>
          <w:b/>
          <w:color w:val="auto"/>
          <w:kern w:val="1"/>
          <w:sz w:val="24"/>
          <w:szCs w:val="24"/>
        </w:rPr>
      </w:pPr>
      <w:r>
        <w:rPr>
          <w:rFonts w:hint="eastAsia" w:ascii="宋体" w:hAnsi="宋体" w:eastAsia="宋体" w:cs="宋体"/>
          <w:color w:val="auto"/>
          <w:kern w:val="1"/>
          <w:sz w:val="24"/>
          <w:szCs w:val="24"/>
        </w:rPr>
        <w:t>三、人员构成</w:t>
      </w:r>
    </w:p>
    <w:p w14:paraId="7CA0DD6B">
      <w:pPr>
        <w:widowControl/>
        <w:shd w:val="clear" w:color="auto" w:fill="FFFFFF"/>
        <w:spacing w:line="360" w:lineRule="auto"/>
        <w:jc w:val="left"/>
        <w:rPr>
          <w:rFonts w:hint="eastAsia" w:ascii="宋体" w:hAnsi="宋体" w:eastAsia="宋体" w:cs="宋体"/>
          <w:b/>
          <w:color w:val="auto"/>
          <w:kern w:val="1"/>
          <w:sz w:val="24"/>
          <w:szCs w:val="24"/>
        </w:rPr>
      </w:pPr>
      <w:r>
        <w:rPr>
          <w:rFonts w:hint="eastAsia" w:ascii="宋体" w:hAnsi="宋体" w:eastAsia="宋体" w:cs="宋体"/>
          <w:b/>
          <w:color w:val="auto"/>
          <w:kern w:val="1"/>
          <w:sz w:val="24"/>
          <w:szCs w:val="24"/>
        </w:rPr>
        <w:t>第二部分　</w:t>
      </w:r>
      <w:r>
        <w:rPr>
          <w:rFonts w:hint="eastAsia" w:ascii="宋体" w:hAnsi="宋体" w:eastAsia="宋体" w:cs="宋体"/>
          <w:b/>
          <w:color w:val="auto"/>
          <w:kern w:val="1"/>
          <w:sz w:val="24"/>
          <w:szCs w:val="24"/>
          <w:lang w:eastAsia="zh-CN"/>
        </w:rPr>
        <w:t>2026</w:t>
      </w:r>
      <w:r>
        <w:rPr>
          <w:rFonts w:hint="eastAsia" w:ascii="宋体" w:hAnsi="宋体" w:eastAsia="宋体" w:cs="宋体"/>
          <w:b/>
          <w:color w:val="auto"/>
          <w:kern w:val="1"/>
          <w:sz w:val="24"/>
          <w:szCs w:val="24"/>
        </w:rPr>
        <w:t>年部门预算编制情况说明</w:t>
      </w:r>
    </w:p>
    <w:p w14:paraId="2270A344">
      <w:pPr>
        <w:widowControl/>
        <w:shd w:val="clear" w:color="auto" w:fill="FFFFFF"/>
        <w:spacing w:line="360" w:lineRule="auto"/>
        <w:ind w:firstLine="360" w:firstLineChars="150"/>
        <w:jc w:val="left"/>
        <w:rPr>
          <w:rFonts w:hint="eastAsia" w:ascii="宋体" w:hAnsi="宋体" w:eastAsia="宋体"/>
          <w:color w:val="auto"/>
          <w:sz w:val="24"/>
          <w:szCs w:val="24"/>
          <w:shd w:val="clear" w:color="auto" w:fill="FFFFFF"/>
        </w:rPr>
      </w:pPr>
      <w:r>
        <w:rPr>
          <w:rFonts w:hint="eastAsia" w:ascii="宋体" w:hAnsi="宋体" w:eastAsia="宋体"/>
          <w:color w:val="auto"/>
          <w:sz w:val="24"/>
          <w:szCs w:val="24"/>
          <w:shd w:val="clear" w:color="auto" w:fill="FFFFFF"/>
        </w:rPr>
        <w:t>一、预算收支安排及增减变化情况</w:t>
      </w:r>
    </w:p>
    <w:p w14:paraId="3A7D875E">
      <w:pPr>
        <w:widowControl/>
        <w:shd w:val="clear" w:color="auto" w:fill="FFFFFF"/>
        <w:spacing w:line="360" w:lineRule="auto"/>
        <w:ind w:firstLine="360" w:firstLineChars="150"/>
        <w:jc w:val="left"/>
        <w:rPr>
          <w:rFonts w:hint="eastAsia" w:ascii="宋体" w:hAnsi="宋体" w:eastAsia="宋体"/>
          <w:color w:val="auto"/>
          <w:sz w:val="24"/>
          <w:szCs w:val="24"/>
          <w:shd w:val="clear" w:color="auto" w:fill="FFFFFF"/>
        </w:rPr>
      </w:pPr>
      <w:r>
        <w:rPr>
          <w:rFonts w:hint="eastAsia" w:ascii="宋体" w:hAnsi="宋体" w:eastAsia="宋体"/>
          <w:color w:val="auto"/>
          <w:sz w:val="24"/>
          <w:szCs w:val="24"/>
          <w:shd w:val="clear" w:color="auto" w:fill="FFFFFF"/>
        </w:rPr>
        <w:t>二、机关运行经费预算安排及增减变化情况</w:t>
      </w:r>
    </w:p>
    <w:p w14:paraId="40776717">
      <w:pPr>
        <w:widowControl/>
        <w:shd w:val="clear" w:color="auto" w:fill="FFFFFF"/>
        <w:spacing w:line="360" w:lineRule="auto"/>
        <w:ind w:firstLine="360" w:firstLineChars="150"/>
        <w:jc w:val="left"/>
        <w:rPr>
          <w:rFonts w:hint="eastAsia" w:ascii="宋体" w:hAnsi="宋体" w:eastAsia="宋体"/>
          <w:color w:val="auto"/>
          <w:sz w:val="24"/>
          <w:szCs w:val="24"/>
          <w:shd w:val="clear" w:color="auto" w:fill="FFFFFF"/>
        </w:rPr>
      </w:pPr>
      <w:r>
        <w:rPr>
          <w:rFonts w:hint="eastAsia" w:ascii="宋体" w:hAnsi="宋体" w:eastAsia="宋体"/>
          <w:color w:val="auto"/>
          <w:sz w:val="24"/>
          <w:szCs w:val="24"/>
          <w:shd w:val="clear" w:color="auto" w:fill="FFFFFF"/>
        </w:rPr>
        <w:t>三、“三公”经费预算安排情况及增减变化情况</w:t>
      </w:r>
    </w:p>
    <w:p w14:paraId="3EC2DA08">
      <w:pPr>
        <w:widowControl/>
        <w:shd w:val="clear" w:color="auto" w:fill="FFFFFF"/>
        <w:spacing w:line="360" w:lineRule="auto"/>
        <w:ind w:firstLine="360" w:firstLineChars="150"/>
        <w:jc w:val="left"/>
        <w:rPr>
          <w:rFonts w:hint="eastAsia" w:ascii="宋体" w:hAnsi="宋体" w:eastAsia="宋体"/>
          <w:color w:val="auto"/>
          <w:sz w:val="24"/>
          <w:szCs w:val="24"/>
          <w:shd w:val="clear" w:color="auto" w:fill="FFFFFF"/>
        </w:rPr>
      </w:pPr>
      <w:r>
        <w:rPr>
          <w:rFonts w:hint="eastAsia" w:ascii="宋体" w:hAnsi="宋体" w:eastAsia="宋体"/>
          <w:color w:val="auto"/>
          <w:sz w:val="24"/>
          <w:szCs w:val="24"/>
          <w:shd w:val="clear" w:color="auto" w:fill="FFFFFF"/>
        </w:rPr>
        <w:t>四、政府采购预算安排情况</w:t>
      </w:r>
    </w:p>
    <w:p w14:paraId="0D86F749">
      <w:pPr>
        <w:widowControl/>
        <w:shd w:val="clear" w:color="auto" w:fill="FFFFFF"/>
        <w:spacing w:line="360" w:lineRule="auto"/>
        <w:ind w:firstLine="360" w:firstLineChars="150"/>
        <w:jc w:val="left"/>
        <w:rPr>
          <w:rFonts w:hint="eastAsia" w:ascii="宋体" w:hAnsi="宋体" w:eastAsia="宋体"/>
          <w:color w:val="auto"/>
          <w:sz w:val="24"/>
          <w:szCs w:val="24"/>
          <w:shd w:val="clear" w:color="auto" w:fill="FFFFFF"/>
        </w:rPr>
      </w:pPr>
      <w:r>
        <w:rPr>
          <w:rFonts w:hint="eastAsia" w:ascii="宋体" w:hAnsi="宋体" w:eastAsia="宋体"/>
          <w:color w:val="auto"/>
          <w:sz w:val="24"/>
          <w:szCs w:val="24"/>
          <w:shd w:val="clear" w:color="auto" w:fill="FFFFFF"/>
        </w:rPr>
        <w:t>五、国有资产占用情况</w:t>
      </w:r>
    </w:p>
    <w:p w14:paraId="463A90AC">
      <w:pPr>
        <w:widowControl/>
        <w:shd w:val="clear" w:color="auto" w:fill="FFFFFF"/>
        <w:spacing w:line="360" w:lineRule="auto"/>
        <w:ind w:firstLine="360" w:firstLineChars="150"/>
        <w:jc w:val="left"/>
        <w:rPr>
          <w:rFonts w:hint="eastAsia" w:ascii="宋体" w:hAnsi="宋体" w:eastAsia="宋体"/>
          <w:color w:val="auto"/>
          <w:sz w:val="24"/>
          <w:szCs w:val="24"/>
          <w:shd w:val="clear" w:color="auto" w:fill="FFFFFF"/>
        </w:rPr>
      </w:pPr>
      <w:r>
        <w:rPr>
          <w:rFonts w:hint="eastAsia" w:ascii="宋体" w:hAnsi="宋体" w:eastAsia="宋体"/>
          <w:color w:val="auto"/>
          <w:sz w:val="24"/>
          <w:szCs w:val="24"/>
          <w:shd w:val="clear" w:color="auto" w:fill="FFFFFF"/>
        </w:rPr>
        <w:t>六、重点项目预算的绩效目标等预算绩效情况说明</w:t>
      </w:r>
    </w:p>
    <w:p w14:paraId="2B7241ED">
      <w:pPr>
        <w:widowControl/>
        <w:shd w:val="clear" w:color="auto" w:fill="FFFFFF"/>
        <w:spacing w:line="360" w:lineRule="auto"/>
        <w:jc w:val="left"/>
        <w:rPr>
          <w:rFonts w:hint="eastAsia" w:ascii="宋体" w:hAnsi="宋体" w:eastAsia="宋体"/>
          <w:b/>
          <w:color w:val="auto"/>
          <w:sz w:val="24"/>
          <w:szCs w:val="24"/>
          <w:shd w:val="clear" w:color="auto" w:fill="FFFFFF"/>
        </w:rPr>
      </w:pPr>
      <w:r>
        <w:rPr>
          <w:rFonts w:hint="eastAsia" w:ascii="宋体" w:hAnsi="宋体" w:eastAsia="宋体"/>
          <w:b/>
          <w:color w:val="auto"/>
          <w:sz w:val="24"/>
          <w:szCs w:val="24"/>
          <w:shd w:val="clear" w:color="auto" w:fill="FFFFFF"/>
        </w:rPr>
        <w:t>第三部分　</w:t>
      </w:r>
      <w:r>
        <w:rPr>
          <w:rFonts w:hint="eastAsia" w:ascii="宋体" w:hAnsi="宋体" w:eastAsia="宋体"/>
          <w:b/>
          <w:color w:val="auto"/>
          <w:sz w:val="24"/>
          <w:szCs w:val="24"/>
          <w:shd w:val="clear" w:color="auto" w:fill="FFFFFF"/>
          <w:lang w:eastAsia="zh-CN"/>
        </w:rPr>
        <w:t>2026</w:t>
      </w:r>
      <w:r>
        <w:rPr>
          <w:rFonts w:hint="eastAsia" w:ascii="宋体" w:hAnsi="宋体" w:eastAsia="宋体"/>
          <w:b/>
          <w:color w:val="auto"/>
          <w:sz w:val="24"/>
          <w:szCs w:val="24"/>
          <w:shd w:val="clear" w:color="auto" w:fill="FFFFFF"/>
        </w:rPr>
        <w:t>年部门预算公开收支表</w:t>
      </w:r>
    </w:p>
    <w:p w14:paraId="4503B68F">
      <w:pPr>
        <w:widowControl/>
        <w:shd w:val="clear" w:color="auto" w:fill="FFFFFF"/>
        <w:spacing w:line="360" w:lineRule="auto"/>
        <w:ind w:firstLine="360" w:firstLineChars="150"/>
        <w:jc w:val="left"/>
        <w:rPr>
          <w:rFonts w:hint="eastAsia" w:ascii="宋体" w:hAnsi="宋体" w:eastAsia="宋体" w:cs="宋体"/>
          <w:color w:val="auto"/>
          <w:kern w:val="1"/>
          <w:sz w:val="24"/>
          <w:szCs w:val="24"/>
        </w:rPr>
      </w:pPr>
      <w:r>
        <w:rPr>
          <w:rFonts w:hint="eastAsia" w:ascii="宋体" w:hAnsi="宋体" w:eastAsia="宋体" w:cs="宋体"/>
          <w:color w:val="auto"/>
          <w:kern w:val="1"/>
          <w:sz w:val="24"/>
          <w:szCs w:val="24"/>
        </w:rPr>
        <w:t>一、部门收支总表</w:t>
      </w:r>
    </w:p>
    <w:p w14:paraId="460E7570">
      <w:pPr>
        <w:widowControl/>
        <w:shd w:val="clear" w:color="auto" w:fill="FFFFFF"/>
        <w:spacing w:line="360" w:lineRule="auto"/>
        <w:ind w:firstLine="360" w:firstLineChars="150"/>
        <w:jc w:val="left"/>
        <w:rPr>
          <w:rFonts w:hint="eastAsia" w:ascii="宋体" w:hAnsi="宋体" w:eastAsia="宋体" w:cs="宋体"/>
          <w:color w:val="auto"/>
          <w:kern w:val="1"/>
          <w:sz w:val="24"/>
          <w:szCs w:val="24"/>
        </w:rPr>
      </w:pPr>
      <w:r>
        <w:rPr>
          <w:rFonts w:hint="eastAsia" w:ascii="宋体" w:hAnsi="宋体" w:eastAsia="宋体" w:cs="宋体"/>
          <w:color w:val="auto"/>
          <w:kern w:val="1"/>
          <w:sz w:val="24"/>
          <w:szCs w:val="24"/>
        </w:rPr>
        <w:t>二、部门收入总表</w:t>
      </w:r>
    </w:p>
    <w:p w14:paraId="5C87DBFD">
      <w:pPr>
        <w:widowControl/>
        <w:shd w:val="clear" w:color="auto" w:fill="FFFFFF"/>
        <w:spacing w:line="360" w:lineRule="auto"/>
        <w:ind w:firstLine="360" w:firstLineChars="150"/>
        <w:jc w:val="left"/>
        <w:rPr>
          <w:rFonts w:hint="eastAsia" w:ascii="宋体" w:hAnsi="宋体" w:eastAsia="宋体" w:cs="宋体"/>
          <w:color w:val="auto"/>
          <w:kern w:val="1"/>
          <w:sz w:val="24"/>
          <w:szCs w:val="24"/>
        </w:rPr>
      </w:pPr>
      <w:r>
        <w:rPr>
          <w:rFonts w:hint="eastAsia" w:ascii="宋体" w:hAnsi="宋体" w:eastAsia="宋体" w:cs="宋体"/>
          <w:color w:val="auto"/>
          <w:kern w:val="1"/>
          <w:sz w:val="24"/>
          <w:szCs w:val="24"/>
        </w:rPr>
        <w:t>三、部门支出总表</w:t>
      </w:r>
    </w:p>
    <w:p w14:paraId="1DC5BCAA">
      <w:pPr>
        <w:widowControl/>
        <w:shd w:val="clear" w:color="auto" w:fill="FFFFFF"/>
        <w:spacing w:line="360" w:lineRule="auto"/>
        <w:ind w:firstLine="360" w:firstLineChars="150"/>
        <w:jc w:val="left"/>
        <w:rPr>
          <w:rFonts w:hint="eastAsia" w:ascii="宋体" w:hAnsi="宋体" w:eastAsia="宋体" w:cs="宋体"/>
          <w:color w:val="auto"/>
          <w:kern w:val="1"/>
          <w:sz w:val="24"/>
          <w:szCs w:val="24"/>
        </w:rPr>
      </w:pPr>
      <w:r>
        <w:rPr>
          <w:rFonts w:hint="eastAsia" w:ascii="宋体" w:hAnsi="宋体" w:eastAsia="宋体" w:cs="宋体"/>
          <w:color w:val="auto"/>
          <w:kern w:val="1"/>
          <w:sz w:val="24"/>
          <w:szCs w:val="24"/>
        </w:rPr>
        <w:t>四、财政拨款收支总表</w:t>
      </w:r>
    </w:p>
    <w:p w14:paraId="41727E1A">
      <w:pPr>
        <w:widowControl/>
        <w:shd w:val="clear" w:color="auto" w:fill="FFFFFF"/>
        <w:spacing w:line="360" w:lineRule="auto"/>
        <w:ind w:firstLine="360" w:firstLineChars="150"/>
        <w:jc w:val="left"/>
        <w:rPr>
          <w:rFonts w:hint="eastAsia" w:ascii="宋体" w:hAnsi="宋体" w:eastAsia="宋体" w:cs="宋体"/>
          <w:color w:val="auto"/>
          <w:kern w:val="1"/>
          <w:sz w:val="24"/>
          <w:szCs w:val="24"/>
        </w:rPr>
      </w:pPr>
      <w:r>
        <w:rPr>
          <w:rFonts w:hint="eastAsia" w:ascii="宋体" w:hAnsi="宋体" w:eastAsia="宋体" w:cs="宋体"/>
          <w:color w:val="auto"/>
          <w:kern w:val="1"/>
          <w:sz w:val="24"/>
          <w:szCs w:val="24"/>
        </w:rPr>
        <w:t>五、一般公共预算支出表</w:t>
      </w:r>
    </w:p>
    <w:p w14:paraId="035B95AD">
      <w:pPr>
        <w:widowControl/>
        <w:shd w:val="clear" w:color="auto" w:fill="FFFFFF"/>
        <w:spacing w:line="360" w:lineRule="auto"/>
        <w:ind w:firstLine="360" w:firstLineChars="150"/>
        <w:jc w:val="left"/>
        <w:rPr>
          <w:rFonts w:hint="eastAsia" w:ascii="宋体" w:hAnsi="宋体" w:eastAsia="宋体" w:cs="宋体"/>
          <w:color w:val="auto"/>
          <w:kern w:val="1"/>
          <w:sz w:val="24"/>
          <w:szCs w:val="24"/>
        </w:rPr>
      </w:pPr>
      <w:r>
        <w:rPr>
          <w:rFonts w:hint="eastAsia" w:ascii="宋体" w:hAnsi="宋体" w:eastAsia="宋体" w:cs="宋体"/>
          <w:color w:val="auto"/>
          <w:kern w:val="1"/>
          <w:sz w:val="24"/>
          <w:szCs w:val="24"/>
        </w:rPr>
        <w:t>六、一般公共预算基本支出表</w:t>
      </w:r>
    </w:p>
    <w:p w14:paraId="4A5498E0">
      <w:pPr>
        <w:widowControl/>
        <w:shd w:val="clear" w:color="auto" w:fill="FFFFFF"/>
        <w:spacing w:line="360" w:lineRule="auto"/>
        <w:ind w:firstLine="360" w:firstLineChars="150"/>
        <w:jc w:val="left"/>
        <w:rPr>
          <w:rFonts w:hint="eastAsia" w:ascii="宋体" w:hAnsi="宋体" w:eastAsia="宋体" w:cs="宋体"/>
          <w:color w:val="auto"/>
          <w:kern w:val="1"/>
          <w:sz w:val="24"/>
          <w:szCs w:val="24"/>
        </w:rPr>
      </w:pPr>
      <w:r>
        <w:rPr>
          <w:rFonts w:hint="eastAsia" w:ascii="宋体" w:hAnsi="宋体" w:eastAsia="宋体" w:cs="宋体"/>
          <w:color w:val="auto"/>
          <w:kern w:val="1"/>
          <w:sz w:val="24"/>
          <w:szCs w:val="24"/>
        </w:rPr>
        <w:t>七、一般公共预算“三公”经费支出表</w:t>
      </w:r>
    </w:p>
    <w:p w14:paraId="58E76DCE">
      <w:pPr>
        <w:widowControl/>
        <w:shd w:val="clear" w:color="auto" w:fill="FFFFFF"/>
        <w:spacing w:line="360" w:lineRule="auto"/>
        <w:ind w:firstLine="360" w:firstLineChars="150"/>
        <w:jc w:val="left"/>
        <w:rPr>
          <w:rFonts w:hint="eastAsia" w:ascii="宋体" w:hAnsi="宋体" w:eastAsia="宋体" w:cs="宋体"/>
          <w:color w:val="auto"/>
          <w:kern w:val="1"/>
          <w:sz w:val="24"/>
          <w:szCs w:val="24"/>
        </w:rPr>
      </w:pPr>
      <w:r>
        <w:rPr>
          <w:rFonts w:hint="eastAsia" w:ascii="宋体" w:hAnsi="宋体" w:eastAsia="宋体" w:cs="宋体"/>
          <w:color w:val="auto"/>
          <w:kern w:val="1"/>
          <w:sz w:val="24"/>
          <w:szCs w:val="24"/>
        </w:rPr>
        <w:t>八、政府性基金预算支出表</w:t>
      </w:r>
    </w:p>
    <w:p w14:paraId="514BD5AA">
      <w:pPr>
        <w:widowControl/>
        <w:shd w:val="clear" w:color="auto" w:fill="FFFFFF"/>
        <w:spacing w:line="360" w:lineRule="auto"/>
        <w:ind w:firstLine="360" w:firstLineChars="150"/>
        <w:jc w:val="left"/>
        <w:rPr>
          <w:rFonts w:hint="eastAsia" w:ascii="宋体" w:hAnsi="宋体" w:eastAsia="宋体" w:cs="宋体"/>
          <w:color w:val="auto"/>
          <w:kern w:val="1"/>
          <w:sz w:val="24"/>
          <w:szCs w:val="24"/>
          <w:lang w:val="en-US" w:eastAsia="zh-CN"/>
        </w:rPr>
      </w:pPr>
      <w:r>
        <w:rPr>
          <w:rFonts w:hint="eastAsia" w:ascii="宋体" w:hAnsi="宋体" w:eastAsia="宋体" w:cs="宋体"/>
          <w:color w:val="auto"/>
          <w:kern w:val="1"/>
          <w:sz w:val="24"/>
          <w:szCs w:val="24"/>
        </w:rPr>
        <w:t>九、</w:t>
      </w:r>
      <w:r>
        <w:rPr>
          <w:rFonts w:hint="eastAsia" w:ascii="宋体" w:hAnsi="宋体" w:eastAsia="宋体" w:cs="宋体"/>
          <w:color w:val="auto"/>
          <w:kern w:val="1"/>
          <w:sz w:val="24"/>
          <w:szCs w:val="24"/>
          <w:lang w:eastAsia="zh-CN"/>
        </w:rPr>
        <w:t>项目支出表</w:t>
      </w:r>
    </w:p>
    <w:p w14:paraId="22561F48">
      <w:pPr>
        <w:widowControl/>
        <w:shd w:val="clear" w:color="auto" w:fill="FFFFFF"/>
        <w:spacing w:line="360" w:lineRule="auto"/>
        <w:ind w:firstLine="360" w:firstLineChars="150"/>
        <w:jc w:val="left"/>
        <w:rPr>
          <w:rFonts w:hint="eastAsia" w:ascii="宋体" w:hAnsi="宋体" w:eastAsia="宋体" w:cs="宋体"/>
          <w:color w:val="auto"/>
          <w:kern w:val="1"/>
          <w:sz w:val="24"/>
          <w:szCs w:val="24"/>
          <w:lang w:val="en-US" w:eastAsia="zh-CN"/>
        </w:rPr>
      </w:pPr>
      <w:r>
        <w:rPr>
          <w:rFonts w:hint="eastAsia" w:ascii="宋体" w:hAnsi="宋体" w:eastAsia="宋体" w:cs="宋体"/>
          <w:color w:val="auto"/>
          <w:kern w:val="1"/>
          <w:sz w:val="24"/>
          <w:szCs w:val="24"/>
          <w:lang w:val="en-US" w:eastAsia="zh-CN"/>
        </w:rPr>
        <w:t>十、国有资本经营预算支出表</w:t>
      </w:r>
    </w:p>
    <w:p w14:paraId="1E0F2061">
      <w:pPr>
        <w:widowControl/>
        <w:shd w:val="clear" w:color="auto" w:fill="FFFFFF"/>
        <w:spacing w:line="360" w:lineRule="auto"/>
        <w:jc w:val="left"/>
        <w:rPr>
          <w:rFonts w:hint="eastAsia" w:ascii="宋体" w:hAnsi="宋体" w:eastAsia="宋体"/>
          <w:b/>
          <w:color w:val="auto"/>
          <w:sz w:val="24"/>
          <w:szCs w:val="24"/>
          <w:shd w:val="clear" w:color="auto" w:fill="FFFFFF"/>
        </w:rPr>
      </w:pPr>
      <w:r>
        <w:rPr>
          <w:rFonts w:hint="eastAsia" w:ascii="宋体" w:hAnsi="宋体" w:eastAsia="宋体"/>
          <w:b/>
          <w:color w:val="auto"/>
          <w:sz w:val="24"/>
          <w:szCs w:val="24"/>
          <w:shd w:val="clear" w:color="auto" w:fill="FFFFFF"/>
        </w:rPr>
        <w:t>第四部分　名词解释</w:t>
      </w:r>
    </w:p>
    <w:p w14:paraId="34B4AABF">
      <w:pPr>
        <w:widowControl/>
        <w:shd w:val="clear" w:color="auto" w:fill="FFFFFF"/>
        <w:spacing w:line="360" w:lineRule="auto"/>
        <w:jc w:val="left"/>
        <w:rPr>
          <w:rFonts w:hint="eastAsia" w:ascii="宋体" w:hAnsi="宋体" w:eastAsia="宋体"/>
          <w:b/>
          <w:color w:val="auto"/>
          <w:sz w:val="24"/>
          <w:szCs w:val="24"/>
          <w:shd w:val="clear" w:color="auto" w:fill="FFFFFF"/>
        </w:rPr>
      </w:pPr>
    </w:p>
    <w:p w14:paraId="43CD7CF1">
      <w:pPr>
        <w:widowControl/>
        <w:numPr>
          <w:ilvl w:val="0"/>
          <w:numId w:val="1"/>
        </w:numPr>
        <w:shd w:val="clear" w:color="auto" w:fill="FFFFFF"/>
        <w:spacing w:line="360" w:lineRule="auto"/>
        <w:ind w:firstLine="120" w:firstLineChars="50"/>
        <w:jc w:val="center"/>
        <w:rPr>
          <w:rFonts w:hint="eastAsia" w:ascii="宋体" w:hAnsi="宋体" w:eastAsia="宋体"/>
          <w:b/>
          <w:color w:val="auto"/>
          <w:sz w:val="24"/>
          <w:szCs w:val="24"/>
          <w:shd w:val="clear" w:color="auto" w:fill="FFFFFF"/>
        </w:rPr>
      </w:pPr>
      <w:r>
        <w:rPr>
          <w:rFonts w:hint="eastAsia" w:ascii="宋体" w:hAnsi="宋体" w:eastAsia="宋体"/>
          <w:b/>
          <w:color w:val="auto"/>
          <w:sz w:val="24"/>
          <w:szCs w:val="24"/>
          <w:shd w:val="clear" w:color="auto" w:fill="FFFFFF"/>
          <w:lang w:eastAsia="zh-CN"/>
        </w:rPr>
        <w:t>天门市</w:t>
      </w:r>
      <w:r>
        <w:rPr>
          <w:rFonts w:hint="eastAsia" w:ascii="宋体" w:hAnsi="宋体" w:eastAsia="宋体"/>
          <w:b/>
          <w:color w:val="auto"/>
          <w:sz w:val="24"/>
          <w:szCs w:val="24"/>
          <w:shd w:val="clear" w:color="auto" w:fill="FFFFFF"/>
          <w:lang w:val="en-US" w:eastAsia="zh-CN"/>
        </w:rPr>
        <w:t>12345公共服务热线中心</w:t>
      </w:r>
      <w:r>
        <w:rPr>
          <w:rFonts w:hint="eastAsia" w:ascii="宋体" w:hAnsi="宋体" w:eastAsia="宋体"/>
          <w:b/>
          <w:color w:val="auto"/>
          <w:sz w:val="24"/>
          <w:szCs w:val="24"/>
          <w:shd w:val="clear" w:color="auto" w:fill="FFFFFF"/>
        </w:rPr>
        <w:t>概况</w:t>
      </w:r>
    </w:p>
    <w:p w14:paraId="2FD96F19">
      <w:pPr>
        <w:widowControl/>
        <w:numPr>
          <w:ilvl w:val="0"/>
          <w:numId w:val="2"/>
        </w:numPr>
        <w:shd w:val="clear" w:color="auto" w:fill="FFFFFF"/>
        <w:spacing w:line="360" w:lineRule="auto"/>
        <w:ind w:firstLine="480" w:firstLineChars="200"/>
        <w:jc w:val="both"/>
        <w:rPr>
          <w:rFonts w:hint="eastAsia" w:ascii="宋体" w:hAnsi="宋体" w:eastAsia="宋体" w:cs="宋体"/>
          <w:color w:val="auto"/>
          <w:kern w:val="1"/>
          <w:sz w:val="24"/>
          <w:szCs w:val="24"/>
        </w:rPr>
      </w:pPr>
      <w:r>
        <w:rPr>
          <w:rFonts w:hint="eastAsia" w:ascii="宋体" w:hAnsi="宋体" w:eastAsia="宋体" w:cs="宋体"/>
          <w:color w:val="auto"/>
          <w:kern w:val="1"/>
          <w:sz w:val="24"/>
          <w:szCs w:val="24"/>
        </w:rPr>
        <w:t>主要职责及机构设置情况</w:t>
      </w:r>
    </w:p>
    <w:p w14:paraId="2D71D2EC">
      <w:pPr>
        <w:widowControl/>
        <w:numPr>
          <w:ilvl w:val="0"/>
          <w:numId w:val="0"/>
        </w:numPr>
        <w:shd w:val="clear" w:color="auto" w:fill="FFFFFF"/>
        <w:spacing w:line="360" w:lineRule="auto"/>
        <w:ind w:firstLine="480" w:firstLineChars="200"/>
        <w:jc w:val="both"/>
        <w:rPr>
          <w:rFonts w:hint="eastAsia" w:ascii="宋体" w:hAnsi="宋体" w:eastAsia="宋体" w:cs="宋体"/>
          <w:color w:val="auto"/>
          <w:kern w:val="1"/>
          <w:sz w:val="24"/>
          <w:szCs w:val="24"/>
        </w:rPr>
      </w:pPr>
      <w:r>
        <w:rPr>
          <w:rFonts w:hint="eastAsia" w:ascii="宋体" w:hAnsi="宋体" w:eastAsia="宋体" w:cs="宋体"/>
          <w:color w:val="auto"/>
          <w:kern w:val="1"/>
          <w:sz w:val="24"/>
          <w:szCs w:val="24"/>
        </w:rPr>
        <w:t>（一）主要职责</w:t>
      </w:r>
    </w:p>
    <w:p w14:paraId="61779DB2">
      <w:pPr>
        <w:snapToGrid w:val="0"/>
        <w:spacing w:line="360" w:lineRule="auto"/>
        <w:ind w:firstLine="480" w:firstLineChars="200"/>
        <w:rPr>
          <w:rFonts w:hint="eastAsia" w:ascii="宋体" w:hAnsi="宋体" w:eastAsia="宋体" w:cs="宋体"/>
          <w:color w:val="auto"/>
          <w:kern w:val="1"/>
          <w:sz w:val="24"/>
          <w:szCs w:val="24"/>
          <w:lang w:val="en-US" w:eastAsia="zh-CN"/>
        </w:rPr>
      </w:pPr>
      <w:r>
        <w:rPr>
          <w:rFonts w:hint="eastAsia" w:ascii="宋体" w:hAnsi="宋体" w:eastAsia="宋体" w:cs="宋体"/>
          <w:color w:val="auto"/>
          <w:kern w:val="1"/>
          <w:sz w:val="24"/>
          <w:szCs w:val="24"/>
          <w:lang w:val="en-US" w:eastAsia="zh-CN"/>
        </w:rPr>
        <w:t>1、协调全市城市管理方面的公共信息资源，实现网络线路、基础数据库等各项资源的共享共用，负责整个数字城管系统的管理，协调各相关单位做好平台的维护升级。</w:t>
      </w:r>
    </w:p>
    <w:p w14:paraId="4C50AE8B">
      <w:pPr>
        <w:snapToGrid w:val="0"/>
        <w:spacing w:line="360" w:lineRule="auto"/>
        <w:ind w:firstLine="480" w:firstLineChars="200"/>
        <w:rPr>
          <w:rFonts w:hint="eastAsia" w:ascii="宋体" w:hAnsi="宋体" w:eastAsia="宋体" w:cs="宋体"/>
          <w:color w:val="auto"/>
          <w:kern w:val="1"/>
          <w:sz w:val="24"/>
          <w:szCs w:val="24"/>
          <w:lang w:val="en-US" w:eastAsia="zh-CN"/>
        </w:rPr>
      </w:pPr>
      <w:r>
        <w:rPr>
          <w:rFonts w:hint="eastAsia" w:ascii="宋体" w:hAnsi="宋体" w:eastAsia="宋体" w:cs="宋体"/>
          <w:color w:val="auto"/>
          <w:kern w:val="1"/>
          <w:sz w:val="24"/>
          <w:szCs w:val="24"/>
          <w:lang w:val="en-US" w:eastAsia="zh-CN"/>
        </w:rPr>
        <w:t>2、受理群众的投诉、咨询、求助、建议类的事项，由市12345热线中心根据事件类型分别予以解答和分流。通过数字城管系统和12345公共服务热线平台分别交办到相应的责任单位进行处理，并会跟踪，督办，考核考评等。</w:t>
      </w:r>
    </w:p>
    <w:p w14:paraId="747ED931">
      <w:pPr>
        <w:widowControl/>
        <w:shd w:val="clear" w:color="auto" w:fill="FFFFFF"/>
        <w:spacing w:line="360" w:lineRule="auto"/>
        <w:ind w:firstLine="480" w:firstLineChars="200"/>
        <w:jc w:val="left"/>
        <w:rPr>
          <w:rFonts w:hint="eastAsia" w:ascii="宋体" w:hAnsi="宋体" w:eastAsia="宋体" w:cs="宋体"/>
          <w:color w:val="auto"/>
          <w:kern w:val="1"/>
          <w:sz w:val="24"/>
          <w:szCs w:val="24"/>
        </w:rPr>
      </w:pPr>
      <w:r>
        <w:rPr>
          <w:rFonts w:hint="eastAsia" w:ascii="宋体" w:hAnsi="宋体" w:eastAsia="宋体" w:cs="宋体"/>
          <w:color w:val="auto"/>
          <w:kern w:val="1"/>
          <w:sz w:val="24"/>
          <w:szCs w:val="24"/>
        </w:rPr>
        <w:t>（二）机构设置情况</w:t>
      </w:r>
    </w:p>
    <w:p w14:paraId="16CB47EE">
      <w:pPr>
        <w:snapToGrid w:val="0"/>
        <w:spacing w:line="360" w:lineRule="auto"/>
        <w:ind w:firstLine="480" w:firstLineChars="200"/>
        <w:rPr>
          <w:rFonts w:hint="eastAsia" w:ascii="宋体" w:hAnsi="宋体" w:eastAsia="宋体" w:cs="宋体"/>
          <w:color w:val="auto"/>
          <w:kern w:val="1"/>
          <w:sz w:val="24"/>
          <w:szCs w:val="24"/>
          <w:lang w:val="en-US" w:eastAsia="zh-CN"/>
        </w:rPr>
      </w:pPr>
      <w:r>
        <w:rPr>
          <w:rFonts w:hint="eastAsia" w:ascii="宋体" w:hAnsi="宋体" w:eastAsia="宋体" w:cs="宋体"/>
          <w:color w:val="auto"/>
          <w:kern w:val="1"/>
          <w:sz w:val="24"/>
          <w:szCs w:val="24"/>
          <w:lang w:val="en-US" w:eastAsia="zh-CN"/>
        </w:rPr>
        <w:t>天门市12345公共服务热线中心设3 个科室，分别为：综合科、热线管理科、数字城管科。</w:t>
      </w:r>
    </w:p>
    <w:p w14:paraId="01173A9B">
      <w:pPr>
        <w:widowControl/>
        <w:numPr>
          <w:ilvl w:val="0"/>
          <w:numId w:val="0"/>
        </w:numPr>
        <w:shd w:val="clear" w:color="auto" w:fill="FFFFFF"/>
        <w:spacing w:line="360" w:lineRule="auto"/>
        <w:ind w:firstLine="480" w:firstLineChars="200"/>
        <w:jc w:val="left"/>
        <w:rPr>
          <w:rFonts w:hint="eastAsia" w:ascii="宋体" w:hAnsi="宋体" w:eastAsia="宋体" w:cs="宋体"/>
          <w:color w:val="auto"/>
          <w:kern w:val="1"/>
          <w:sz w:val="24"/>
          <w:szCs w:val="24"/>
        </w:rPr>
      </w:pPr>
      <w:r>
        <w:rPr>
          <w:rFonts w:hint="eastAsia" w:ascii="宋体" w:hAnsi="宋体" w:eastAsia="宋体" w:cs="宋体"/>
          <w:color w:val="auto"/>
          <w:kern w:val="1"/>
          <w:sz w:val="24"/>
          <w:szCs w:val="24"/>
          <w:lang w:eastAsia="zh-CN"/>
        </w:rPr>
        <w:t>二、</w:t>
      </w:r>
      <w:r>
        <w:rPr>
          <w:rFonts w:hint="eastAsia" w:ascii="宋体" w:hAnsi="宋体" w:eastAsia="宋体" w:cs="宋体"/>
          <w:color w:val="auto"/>
          <w:kern w:val="1"/>
          <w:sz w:val="24"/>
          <w:szCs w:val="24"/>
        </w:rPr>
        <w:t>部门预算单位构成</w:t>
      </w:r>
    </w:p>
    <w:p w14:paraId="7C3B9F61">
      <w:pPr>
        <w:snapToGrid w:val="0"/>
        <w:spacing w:line="360" w:lineRule="auto"/>
        <w:ind w:right="23" w:firstLine="480" w:firstLineChars="200"/>
        <w:rPr>
          <w:rFonts w:hint="eastAsia" w:ascii="宋体" w:hAnsi="宋体" w:eastAsia="宋体" w:cs="宋体"/>
          <w:color w:val="auto"/>
          <w:kern w:val="1"/>
          <w:sz w:val="24"/>
          <w:szCs w:val="24"/>
        </w:rPr>
      </w:pPr>
      <w:r>
        <w:rPr>
          <w:rFonts w:hint="eastAsia" w:ascii="宋体" w:hAnsi="宋体" w:eastAsia="宋体" w:cs="宋体"/>
          <w:color w:val="auto"/>
          <w:kern w:val="1"/>
          <w:sz w:val="24"/>
          <w:szCs w:val="24"/>
        </w:rPr>
        <w:t>纳入</w:t>
      </w:r>
      <w:r>
        <w:rPr>
          <w:rFonts w:hint="eastAsia" w:ascii="宋体" w:hAnsi="宋体" w:eastAsia="宋体" w:cs="宋体"/>
          <w:color w:val="auto"/>
          <w:kern w:val="1"/>
          <w:sz w:val="24"/>
          <w:szCs w:val="24"/>
          <w:lang w:eastAsia="zh-CN"/>
        </w:rPr>
        <w:t>2026</w:t>
      </w:r>
      <w:r>
        <w:rPr>
          <w:rFonts w:hint="eastAsia" w:ascii="宋体" w:hAnsi="宋体" w:eastAsia="宋体" w:cs="宋体"/>
          <w:color w:val="auto"/>
          <w:kern w:val="1"/>
          <w:sz w:val="24"/>
          <w:szCs w:val="24"/>
        </w:rPr>
        <w:t>年部门预算编制范围的预算单位包括本级机关</w:t>
      </w:r>
      <w:r>
        <w:rPr>
          <w:rFonts w:hint="eastAsia" w:ascii="宋体" w:hAnsi="宋体" w:eastAsia="宋体" w:cs="宋体"/>
          <w:color w:val="auto"/>
          <w:kern w:val="1"/>
          <w:sz w:val="24"/>
          <w:szCs w:val="24"/>
          <w:lang w:val="en-US" w:eastAsia="zh-CN"/>
        </w:rPr>
        <w:t>,无二级单位</w:t>
      </w:r>
      <w:r>
        <w:rPr>
          <w:rFonts w:hint="eastAsia" w:ascii="宋体" w:hAnsi="宋体" w:eastAsia="宋体" w:cs="宋体"/>
          <w:color w:val="auto"/>
          <w:kern w:val="1"/>
          <w:sz w:val="24"/>
          <w:szCs w:val="24"/>
        </w:rPr>
        <w:t>。</w:t>
      </w:r>
    </w:p>
    <w:p w14:paraId="42A5E98E">
      <w:pPr>
        <w:snapToGrid w:val="0"/>
        <w:spacing w:line="360" w:lineRule="auto"/>
        <w:ind w:right="23" w:firstLine="480" w:firstLineChars="200"/>
        <w:rPr>
          <w:rFonts w:hint="eastAsia" w:ascii="宋体" w:hAnsi="宋体" w:eastAsia="宋体" w:cs="宋体"/>
          <w:color w:val="auto"/>
          <w:kern w:val="1"/>
          <w:sz w:val="24"/>
          <w:szCs w:val="24"/>
        </w:rPr>
      </w:pPr>
      <w:r>
        <w:rPr>
          <w:rFonts w:hint="eastAsia" w:ascii="宋体" w:hAnsi="宋体" w:eastAsia="宋体" w:cs="宋体"/>
          <w:color w:val="auto"/>
          <w:kern w:val="1"/>
          <w:sz w:val="24"/>
          <w:szCs w:val="24"/>
        </w:rPr>
        <w:t>三、人员构成</w:t>
      </w:r>
    </w:p>
    <w:p w14:paraId="58747D52">
      <w:pPr>
        <w:snapToGrid w:val="0"/>
        <w:spacing w:line="360" w:lineRule="auto"/>
        <w:ind w:firstLine="480" w:firstLineChars="200"/>
        <w:rPr>
          <w:rFonts w:hint="eastAsia" w:ascii="宋体" w:hAnsi="宋体" w:eastAsia="宋体" w:cs="宋体"/>
          <w:color w:val="auto"/>
          <w:kern w:val="1"/>
          <w:sz w:val="24"/>
          <w:szCs w:val="24"/>
        </w:rPr>
      </w:pPr>
      <w:r>
        <w:rPr>
          <w:rFonts w:hint="eastAsia" w:ascii="宋体" w:hAnsi="宋体" w:eastAsia="宋体" w:cs="宋体"/>
          <w:color w:val="auto"/>
          <w:kern w:val="1"/>
          <w:sz w:val="24"/>
          <w:szCs w:val="24"/>
          <w:lang w:eastAsia="zh-CN"/>
        </w:rPr>
        <w:t>天门市</w:t>
      </w:r>
      <w:r>
        <w:rPr>
          <w:rFonts w:hint="eastAsia" w:ascii="宋体" w:hAnsi="宋体" w:eastAsia="宋体" w:cs="宋体"/>
          <w:color w:val="auto"/>
          <w:kern w:val="1"/>
          <w:sz w:val="24"/>
          <w:szCs w:val="24"/>
          <w:lang w:val="en-US" w:eastAsia="zh-CN"/>
        </w:rPr>
        <w:t>12345公共服务热线中心</w:t>
      </w:r>
      <w:r>
        <w:rPr>
          <w:rFonts w:hint="eastAsia" w:ascii="宋体" w:hAnsi="宋体" w:eastAsia="宋体" w:cs="宋体"/>
          <w:color w:val="auto"/>
          <w:kern w:val="1"/>
          <w:sz w:val="24"/>
          <w:szCs w:val="24"/>
        </w:rPr>
        <w:t>编制人数</w:t>
      </w:r>
      <w:r>
        <w:rPr>
          <w:rFonts w:hint="eastAsia" w:ascii="宋体" w:hAnsi="宋体" w:eastAsia="宋体" w:cs="宋体"/>
          <w:color w:val="auto"/>
          <w:kern w:val="1"/>
          <w:sz w:val="24"/>
          <w:szCs w:val="24"/>
          <w:lang w:val="en-US" w:eastAsia="zh-CN"/>
        </w:rPr>
        <w:t>7</w:t>
      </w:r>
      <w:r>
        <w:rPr>
          <w:rFonts w:hint="eastAsia" w:ascii="宋体" w:hAnsi="宋体" w:eastAsia="宋体" w:cs="宋体"/>
          <w:color w:val="auto"/>
          <w:kern w:val="1"/>
          <w:sz w:val="24"/>
          <w:szCs w:val="24"/>
        </w:rPr>
        <w:t>人，其中：事业编制</w:t>
      </w:r>
      <w:r>
        <w:rPr>
          <w:rFonts w:hint="eastAsia" w:ascii="宋体" w:hAnsi="宋体" w:eastAsia="宋体" w:cs="宋体"/>
          <w:color w:val="auto"/>
          <w:kern w:val="1"/>
          <w:sz w:val="24"/>
          <w:szCs w:val="24"/>
          <w:lang w:val="en-US" w:eastAsia="zh-CN"/>
        </w:rPr>
        <w:t>7</w:t>
      </w:r>
      <w:r>
        <w:rPr>
          <w:rFonts w:hint="eastAsia" w:ascii="宋体" w:hAnsi="宋体" w:eastAsia="宋体" w:cs="宋体"/>
          <w:color w:val="auto"/>
          <w:kern w:val="1"/>
          <w:sz w:val="24"/>
          <w:szCs w:val="24"/>
        </w:rPr>
        <w:t>人。</w:t>
      </w:r>
      <w:r>
        <w:rPr>
          <w:rFonts w:hint="eastAsia" w:ascii="宋体" w:hAnsi="宋体" w:eastAsia="宋体" w:cs="宋体"/>
          <w:color w:val="auto"/>
          <w:kern w:val="1"/>
          <w:sz w:val="24"/>
          <w:szCs w:val="24"/>
          <w:lang w:eastAsia="zh-CN"/>
        </w:rPr>
        <w:t>无</w:t>
      </w:r>
      <w:r>
        <w:rPr>
          <w:rFonts w:hint="eastAsia" w:ascii="宋体" w:hAnsi="宋体" w:eastAsia="宋体" w:cs="宋体"/>
          <w:color w:val="auto"/>
          <w:kern w:val="1"/>
          <w:sz w:val="24"/>
          <w:szCs w:val="24"/>
        </w:rPr>
        <w:t>离退休人员。</w:t>
      </w:r>
    </w:p>
    <w:p w14:paraId="249EF622">
      <w:pPr>
        <w:snapToGrid w:val="0"/>
        <w:spacing w:line="360" w:lineRule="auto"/>
        <w:ind w:firstLine="480" w:firstLineChars="200"/>
        <w:rPr>
          <w:rFonts w:hint="eastAsia" w:ascii="宋体" w:hAnsi="宋体" w:eastAsia="宋体" w:cs="宋体"/>
          <w:color w:val="auto"/>
          <w:kern w:val="1"/>
          <w:sz w:val="24"/>
          <w:szCs w:val="24"/>
          <w:lang w:eastAsia="zh-CN"/>
        </w:rPr>
      </w:pPr>
    </w:p>
    <w:p w14:paraId="498A80D2">
      <w:pPr>
        <w:widowControl/>
        <w:shd w:val="clear" w:color="auto" w:fill="FFFFFF"/>
        <w:spacing w:line="360" w:lineRule="auto"/>
        <w:ind w:firstLine="120" w:firstLineChars="50"/>
        <w:jc w:val="center"/>
        <w:rPr>
          <w:rFonts w:hint="eastAsia" w:ascii="宋体" w:hAnsi="宋体" w:eastAsia="宋体"/>
          <w:b/>
          <w:color w:val="auto"/>
          <w:sz w:val="24"/>
          <w:szCs w:val="24"/>
          <w:shd w:val="clear" w:color="auto" w:fill="FFFFFF"/>
        </w:rPr>
      </w:pPr>
      <w:r>
        <w:rPr>
          <w:rFonts w:hint="eastAsia" w:ascii="宋体" w:hAnsi="宋体" w:eastAsia="宋体"/>
          <w:b/>
          <w:color w:val="auto"/>
          <w:sz w:val="24"/>
          <w:szCs w:val="24"/>
          <w:shd w:val="clear" w:color="auto" w:fill="FFFFFF"/>
        </w:rPr>
        <w:t>第二部分　</w:t>
      </w:r>
      <w:r>
        <w:rPr>
          <w:rFonts w:hint="eastAsia" w:ascii="宋体" w:hAnsi="宋体" w:eastAsia="宋体"/>
          <w:b/>
          <w:color w:val="auto"/>
          <w:sz w:val="24"/>
          <w:szCs w:val="24"/>
          <w:shd w:val="clear" w:color="auto" w:fill="FFFFFF"/>
          <w:lang w:eastAsia="zh-CN"/>
        </w:rPr>
        <w:t>天门市</w:t>
      </w:r>
      <w:r>
        <w:rPr>
          <w:rFonts w:hint="eastAsia" w:ascii="宋体" w:hAnsi="宋体" w:eastAsia="宋体"/>
          <w:b/>
          <w:color w:val="auto"/>
          <w:sz w:val="24"/>
          <w:szCs w:val="24"/>
          <w:shd w:val="clear" w:color="auto" w:fill="FFFFFF"/>
          <w:lang w:val="en-US" w:eastAsia="zh-CN"/>
        </w:rPr>
        <w:t>12345公共服务热线中心</w:t>
      </w:r>
      <w:r>
        <w:rPr>
          <w:rFonts w:hint="eastAsia" w:ascii="宋体" w:hAnsi="宋体" w:eastAsia="宋体"/>
          <w:b/>
          <w:color w:val="auto"/>
          <w:sz w:val="24"/>
          <w:szCs w:val="24"/>
          <w:shd w:val="clear" w:color="auto" w:fill="FFFFFF"/>
        </w:rPr>
        <w:t>预算编制情况说明</w:t>
      </w:r>
    </w:p>
    <w:p w14:paraId="651B4017">
      <w:pPr>
        <w:widowControl/>
        <w:shd w:val="clear" w:color="auto" w:fill="FFFFFF"/>
        <w:spacing w:line="360" w:lineRule="auto"/>
        <w:ind w:firstLine="480" w:firstLineChars="200"/>
        <w:jc w:val="left"/>
        <w:rPr>
          <w:rFonts w:ascii="宋体" w:hAnsi="宋体" w:eastAsia="宋体"/>
          <w:color w:val="auto"/>
          <w:sz w:val="24"/>
          <w:szCs w:val="24"/>
          <w:shd w:val="clear" w:color="auto" w:fill="FFFFFF"/>
        </w:rPr>
      </w:pPr>
      <w:r>
        <w:rPr>
          <w:rFonts w:hint="eastAsia" w:ascii="宋体" w:hAnsi="宋体" w:eastAsia="宋体"/>
          <w:color w:val="auto"/>
          <w:sz w:val="24"/>
          <w:szCs w:val="24"/>
          <w:shd w:val="clear" w:color="auto" w:fill="FFFFFF"/>
        </w:rPr>
        <w:t>一、预算收支安排及增减变化情况</w:t>
      </w:r>
    </w:p>
    <w:p w14:paraId="7A56B681">
      <w:pPr>
        <w:widowControl/>
        <w:shd w:val="clear" w:color="auto" w:fill="FFFFFF"/>
        <w:spacing w:line="360" w:lineRule="auto"/>
        <w:ind w:firstLine="480" w:firstLineChars="200"/>
        <w:jc w:val="left"/>
        <w:rPr>
          <w:rFonts w:hint="eastAsia" w:ascii="宋体" w:hAnsi="宋体" w:eastAsia="宋体"/>
          <w:color w:val="auto"/>
          <w:sz w:val="24"/>
          <w:szCs w:val="24"/>
          <w:shd w:val="clear" w:color="auto" w:fill="FFFFFF"/>
        </w:rPr>
      </w:pPr>
      <w:r>
        <w:rPr>
          <w:rFonts w:hint="eastAsia" w:ascii="宋体" w:hAnsi="宋体" w:eastAsia="宋体"/>
          <w:color w:val="auto"/>
          <w:sz w:val="24"/>
          <w:szCs w:val="24"/>
          <w:shd w:val="clear" w:color="auto" w:fill="FFFFFF"/>
        </w:rPr>
        <w:t>1．预算收入情况：</w:t>
      </w:r>
      <w:r>
        <w:rPr>
          <w:rFonts w:hint="eastAsia" w:ascii="宋体" w:hAnsi="宋体" w:eastAsia="宋体"/>
          <w:color w:val="auto"/>
          <w:sz w:val="24"/>
          <w:szCs w:val="24"/>
          <w:shd w:val="clear" w:color="auto" w:fill="FFFFFF"/>
          <w:lang w:eastAsia="zh-CN"/>
        </w:rPr>
        <w:t>2026</w:t>
      </w:r>
      <w:r>
        <w:rPr>
          <w:rFonts w:hint="eastAsia" w:ascii="宋体" w:hAnsi="宋体" w:eastAsia="宋体"/>
          <w:color w:val="auto"/>
          <w:sz w:val="24"/>
          <w:szCs w:val="24"/>
          <w:shd w:val="clear" w:color="auto" w:fill="FFFFFF"/>
        </w:rPr>
        <w:t>年预算收入总额</w:t>
      </w:r>
      <w:r>
        <w:rPr>
          <w:rFonts w:hint="eastAsia" w:ascii="宋体" w:hAnsi="宋体" w:eastAsia="宋体"/>
          <w:color w:val="auto"/>
          <w:sz w:val="24"/>
          <w:szCs w:val="24"/>
          <w:shd w:val="clear" w:color="auto" w:fill="FFFFFF"/>
          <w:lang w:val="en-US" w:eastAsia="zh-CN"/>
        </w:rPr>
        <w:t>296.01</w:t>
      </w:r>
      <w:r>
        <w:rPr>
          <w:rFonts w:hint="eastAsia" w:ascii="宋体" w:hAnsi="宋体" w:eastAsia="宋体"/>
          <w:color w:val="auto"/>
          <w:sz w:val="24"/>
          <w:szCs w:val="24"/>
          <w:shd w:val="clear" w:color="auto" w:fill="FFFFFF"/>
        </w:rPr>
        <w:t>万元，比上年</w:t>
      </w:r>
      <w:r>
        <w:rPr>
          <w:rFonts w:hint="eastAsia" w:ascii="宋体" w:hAnsi="宋体" w:eastAsia="宋体"/>
          <w:color w:val="auto"/>
          <w:sz w:val="24"/>
          <w:szCs w:val="24"/>
          <w:shd w:val="clear" w:color="auto" w:fill="FFFFFF"/>
          <w:lang w:val="en-US" w:eastAsia="zh-CN"/>
        </w:rPr>
        <w:t>251.79万元</w:t>
      </w:r>
      <w:r>
        <w:rPr>
          <w:rFonts w:hint="eastAsia" w:ascii="宋体" w:hAnsi="宋体" w:eastAsia="宋体"/>
          <w:color w:val="auto"/>
          <w:sz w:val="24"/>
          <w:szCs w:val="24"/>
          <w:shd w:val="clear" w:color="auto" w:fill="FFFFFF"/>
        </w:rPr>
        <w:t>预算</w:t>
      </w:r>
      <w:r>
        <w:rPr>
          <w:rFonts w:hint="eastAsia" w:ascii="宋体" w:hAnsi="宋体" w:eastAsia="宋体"/>
          <w:color w:val="auto"/>
          <w:sz w:val="24"/>
          <w:szCs w:val="24"/>
          <w:shd w:val="clear" w:color="auto" w:fill="FFFFFF"/>
          <w:lang w:eastAsia="zh-CN"/>
        </w:rPr>
        <w:t>增加</w:t>
      </w:r>
      <w:r>
        <w:rPr>
          <w:rFonts w:hint="eastAsia" w:ascii="宋体" w:hAnsi="宋体" w:eastAsia="宋体"/>
          <w:color w:val="auto"/>
          <w:sz w:val="24"/>
          <w:szCs w:val="24"/>
          <w:shd w:val="clear" w:color="auto" w:fill="FFFFFF"/>
          <w:lang w:val="en-US" w:eastAsia="zh-CN"/>
        </w:rPr>
        <w:t>44.22</w:t>
      </w:r>
      <w:r>
        <w:rPr>
          <w:rFonts w:hint="eastAsia" w:ascii="宋体" w:hAnsi="宋体" w:eastAsia="宋体"/>
          <w:color w:val="auto"/>
          <w:sz w:val="24"/>
          <w:szCs w:val="24"/>
          <w:shd w:val="clear" w:color="auto" w:fill="FFFFFF"/>
        </w:rPr>
        <w:t xml:space="preserve"> 万元，</w:t>
      </w:r>
      <w:r>
        <w:rPr>
          <w:rFonts w:hint="eastAsia" w:ascii="宋体" w:hAnsi="宋体" w:eastAsia="宋体"/>
          <w:color w:val="auto"/>
          <w:sz w:val="24"/>
          <w:szCs w:val="24"/>
          <w:shd w:val="clear" w:color="auto" w:fill="FFFFFF"/>
          <w:lang w:eastAsia="zh-CN"/>
        </w:rPr>
        <w:t>增长</w:t>
      </w:r>
      <w:r>
        <w:rPr>
          <w:rFonts w:hint="eastAsia" w:ascii="宋体" w:hAnsi="宋体" w:eastAsia="宋体"/>
          <w:color w:val="auto"/>
          <w:sz w:val="24"/>
          <w:szCs w:val="24"/>
          <w:shd w:val="clear" w:color="auto" w:fill="FFFFFF"/>
          <w:lang w:val="en-US" w:eastAsia="zh-CN"/>
        </w:rPr>
        <w:t>17.56</w:t>
      </w:r>
      <w:r>
        <w:rPr>
          <w:rFonts w:hint="eastAsia" w:ascii="宋体" w:hAnsi="宋体" w:eastAsia="宋体"/>
          <w:color w:val="auto"/>
          <w:sz w:val="24"/>
          <w:szCs w:val="24"/>
          <w:shd w:val="clear" w:color="auto" w:fill="FFFFFF"/>
        </w:rPr>
        <w:t xml:space="preserve"> %。其中：一般公共预算财政拨款</w:t>
      </w:r>
      <w:r>
        <w:rPr>
          <w:rFonts w:hint="eastAsia" w:ascii="宋体" w:hAnsi="宋体" w:eastAsia="宋体"/>
          <w:color w:val="auto"/>
          <w:sz w:val="24"/>
          <w:szCs w:val="24"/>
          <w:shd w:val="clear" w:color="auto" w:fill="FFFFFF"/>
          <w:lang w:val="en-US" w:eastAsia="zh-CN"/>
        </w:rPr>
        <w:t>296.01</w:t>
      </w:r>
      <w:r>
        <w:rPr>
          <w:rFonts w:hint="eastAsia" w:ascii="宋体" w:hAnsi="宋体" w:eastAsia="宋体"/>
          <w:color w:val="auto"/>
          <w:sz w:val="24"/>
          <w:szCs w:val="24"/>
          <w:shd w:val="clear" w:color="auto" w:fill="FFFFFF"/>
        </w:rPr>
        <w:t>万元，政府性基金预算财政拨款收入</w:t>
      </w:r>
      <w:r>
        <w:rPr>
          <w:rFonts w:hint="eastAsia" w:ascii="宋体" w:hAnsi="宋体" w:eastAsia="宋体"/>
          <w:color w:val="auto"/>
          <w:sz w:val="24"/>
          <w:szCs w:val="24"/>
          <w:shd w:val="clear" w:color="auto" w:fill="FFFFFF"/>
          <w:lang w:val="en-US" w:eastAsia="zh-CN"/>
        </w:rPr>
        <w:t>0</w:t>
      </w:r>
      <w:r>
        <w:rPr>
          <w:rFonts w:hint="eastAsia" w:ascii="宋体" w:hAnsi="宋体" w:eastAsia="宋体"/>
          <w:color w:val="auto"/>
          <w:sz w:val="24"/>
          <w:szCs w:val="24"/>
          <w:shd w:val="clear" w:color="auto" w:fill="FFFFFF"/>
        </w:rPr>
        <w:t>万元，国有资本经营预算财政拨款收入</w:t>
      </w:r>
      <w:r>
        <w:rPr>
          <w:rFonts w:hint="eastAsia" w:ascii="宋体" w:hAnsi="宋体" w:eastAsia="宋体"/>
          <w:color w:val="auto"/>
          <w:sz w:val="24"/>
          <w:szCs w:val="24"/>
          <w:shd w:val="clear" w:color="auto" w:fill="FFFFFF"/>
          <w:lang w:val="en-US" w:eastAsia="zh-CN"/>
        </w:rPr>
        <w:t>0</w:t>
      </w:r>
      <w:r>
        <w:rPr>
          <w:rFonts w:hint="eastAsia" w:ascii="宋体" w:hAnsi="宋体" w:eastAsia="宋体"/>
          <w:color w:val="auto"/>
          <w:sz w:val="24"/>
          <w:szCs w:val="24"/>
          <w:shd w:val="clear" w:color="auto" w:fill="FFFFFF"/>
        </w:rPr>
        <w:t>万元，财政专户管理资金收入</w:t>
      </w:r>
      <w:r>
        <w:rPr>
          <w:rFonts w:hint="eastAsia" w:ascii="宋体" w:hAnsi="宋体" w:eastAsia="宋体"/>
          <w:color w:val="auto"/>
          <w:sz w:val="24"/>
          <w:szCs w:val="24"/>
          <w:shd w:val="clear" w:color="auto" w:fill="FFFFFF"/>
          <w:lang w:val="en-US" w:eastAsia="zh-CN"/>
        </w:rPr>
        <w:t>0</w:t>
      </w:r>
      <w:r>
        <w:rPr>
          <w:rFonts w:hint="eastAsia" w:ascii="宋体" w:hAnsi="宋体" w:eastAsia="宋体"/>
          <w:color w:val="auto"/>
          <w:sz w:val="24"/>
          <w:szCs w:val="24"/>
          <w:shd w:val="clear" w:color="auto" w:fill="FFFFFF"/>
        </w:rPr>
        <w:t>万元，单位资金收入</w:t>
      </w:r>
      <w:r>
        <w:rPr>
          <w:rFonts w:hint="eastAsia" w:ascii="宋体" w:hAnsi="宋体" w:eastAsia="宋体"/>
          <w:color w:val="auto"/>
          <w:sz w:val="24"/>
          <w:szCs w:val="24"/>
          <w:shd w:val="clear" w:color="auto" w:fill="FFFFFF"/>
          <w:lang w:val="en-US" w:eastAsia="zh-CN"/>
        </w:rPr>
        <w:t>0</w:t>
      </w:r>
      <w:r>
        <w:rPr>
          <w:rFonts w:hint="eastAsia" w:ascii="宋体" w:hAnsi="宋体" w:eastAsia="宋体"/>
          <w:color w:val="auto"/>
          <w:sz w:val="24"/>
          <w:szCs w:val="24"/>
          <w:shd w:val="clear" w:color="auto" w:fill="FFFFFF"/>
        </w:rPr>
        <w:t>万元，上年结余结转</w:t>
      </w:r>
      <w:r>
        <w:rPr>
          <w:rFonts w:hint="eastAsia" w:ascii="宋体" w:hAnsi="宋体" w:eastAsia="宋体"/>
          <w:color w:val="auto"/>
          <w:sz w:val="24"/>
          <w:szCs w:val="24"/>
          <w:shd w:val="clear" w:color="auto" w:fill="FFFFFF"/>
          <w:lang w:val="en-US" w:eastAsia="zh-CN"/>
        </w:rPr>
        <w:t>0</w:t>
      </w:r>
      <w:r>
        <w:rPr>
          <w:rFonts w:hint="eastAsia" w:ascii="宋体" w:hAnsi="宋体" w:eastAsia="宋体"/>
          <w:color w:val="auto"/>
          <w:sz w:val="24"/>
          <w:szCs w:val="24"/>
          <w:shd w:val="clear" w:color="auto" w:fill="FFFFFF"/>
        </w:rPr>
        <w:t>万元。收入增长主要原因是</w:t>
      </w:r>
      <w:r>
        <w:rPr>
          <w:rFonts w:hint="eastAsia" w:ascii="宋体" w:hAnsi="宋体" w:eastAsia="宋体"/>
          <w:color w:val="auto"/>
          <w:sz w:val="24"/>
          <w:szCs w:val="24"/>
          <w:shd w:val="clear" w:color="auto" w:fill="FFFFFF"/>
          <w:lang w:val="en-US" w:eastAsia="zh-CN"/>
        </w:rPr>
        <w:t>业务量增加、聘用人员增加，相应的经费都有所增加。</w:t>
      </w:r>
    </w:p>
    <w:p w14:paraId="2BE786F3">
      <w:pPr>
        <w:widowControl/>
        <w:shd w:val="clear" w:color="auto" w:fill="FFFFFF"/>
        <w:spacing w:line="360" w:lineRule="auto"/>
        <w:ind w:firstLine="480" w:firstLineChars="200"/>
        <w:jc w:val="left"/>
        <w:rPr>
          <w:rFonts w:hint="eastAsia" w:ascii="宋体" w:hAnsi="宋体" w:eastAsia="宋体"/>
          <w:color w:val="auto"/>
          <w:sz w:val="24"/>
          <w:szCs w:val="24"/>
          <w:shd w:val="clear" w:color="auto" w:fill="FFFFFF"/>
        </w:rPr>
      </w:pPr>
      <w:r>
        <w:rPr>
          <w:rFonts w:hint="eastAsia" w:ascii="宋体" w:hAnsi="宋体" w:eastAsia="宋体"/>
          <w:color w:val="auto"/>
          <w:sz w:val="24"/>
          <w:szCs w:val="24"/>
          <w:shd w:val="clear" w:color="auto" w:fill="FFFFFF"/>
        </w:rPr>
        <w:t>2．预算支出情况：</w:t>
      </w:r>
      <w:r>
        <w:rPr>
          <w:rFonts w:hint="eastAsia" w:ascii="宋体" w:hAnsi="宋体" w:eastAsia="宋体"/>
          <w:color w:val="auto"/>
          <w:sz w:val="24"/>
          <w:szCs w:val="24"/>
          <w:shd w:val="clear" w:color="auto" w:fill="FFFFFF"/>
          <w:lang w:eastAsia="zh-CN"/>
        </w:rPr>
        <w:t>2026</w:t>
      </w:r>
      <w:r>
        <w:rPr>
          <w:rFonts w:hint="eastAsia" w:ascii="宋体" w:hAnsi="宋体" w:eastAsia="宋体"/>
          <w:color w:val="auto"/>
          <w:sz w:val="24"/>
          <w:szCs w:val="24"/>
          <w:shd w:val="clear" w:color="auto" w:fill="FFFFFF"/>
        </w:rPr>
        <w:t>年预算支出总额</w:t>
      </w:r>
      <w:r>
        <w:rPr>
          <w:rFonts w:hint="eastAsia" w:ascii="宋体" w:hAnsi="宋体" w:eastAsia="宋体"/>
          <w:color w:val="auto"/>
          <w:sz w:val="24"/>
          <w:szCs w:val="24"/>
          <w:shd w:val="clear" w:color="auto" w:fill="FFFFFF"/>
          <w:lang w:val="en-US" w:eastAsia="zh-CN"/>
        </w:rPr>
        <w:t>296.01</w:t>
      </w:r>
      <w:r>
        <w:rPr>
          <w:rFonts w:hint="eastAsia" w:ascii="宋体" w:hAnsi="宋体" w:eastAsia="宋体"/>
          <w:color w:val="auto"/>
          <w:sz w:val="24"/>
          <w:szCs w:val="24"/>
          <w:shd w:val="clear" w:color="auto" w:fill="FFFFFF"/>
        </w:rPr>
        <w:t>万元，比上年预算</w:t>
      </w:r>
      <w:r>
        <w:rPr>
          <w:rFonts w:hint="eastAsia" w:ascii="宋体" w:hAnsi="宋体" w:eastAsia="宋体"/>
          <w:color w:val="auto"/>
          <w:sz w:val="24"/>
          <w:szCs w:val="24"/>
          <w:shd w:val="clear" w:color="auto" w:fill="FFFFFF"/>
          <w:lang w:eastAsia="zh-CN"/>
        </w:rPr>
        <w:t>增加</w:t>
      </w:r>
      <w:r>
        <w:rPr>
          <w:rFonts w:hint="eastAsia" w:ascii="宋体" w:hAnsi="宋体" w:eastAsia="宋体"/>
          <w:color w:val="auto"/>
          <w:sz w:val="24"/>
          <w:szCs w:val="24"/>
          <w:shd w:val="clear" w:color="auto" w:fill="FFFFFF"/>
          <w:lang w:val="en-US" w:eastAsia="zh-CN"/>
        </w:rPr>
        <w:t>44.22</w:t>
      </w:r>
      <w:r>
        <w:rPr>
          <w:rFonts w:hint="eastAsia" w:ascii="宋体" w:hAnsi="宋体" w:eastAsia="宋体"/>
          <w:color w:val="auto"/>
          <w:sz w:val="24"/>
          <w:szCs w:val="24"/>
          <w:shd w:val="clear" w:color="auto" w:fill="FFFFFF"/>
        </w:rPr>
        <w:t>万元</w:t>
      </w:r>
      <w:r>
        <w:rPr>
          <w:rFonts w:hint="eastAsia" w:ascii="宋体" w:hAnsi="宋体" w:eastAsia="宋体"/>
          <w:color w:val="auto"/>
          <w:sz w:val="28"/>
          <w:szCs w:val="28"/>
          <w:shd w:val="clear" w:color="auto" w:fill="FFFFFF"/>
        </w:rPr>
        <w:t>，</w:t>
      </w:r>
      <w:r>
        <w:rPr>
          <w:rFonts w:hint="eastAsia" w:ascii="宋体" w:hAnsi="宋体" w:eastAsia="宋体"/>
          <w:color w:val="auto"/>
          <w:sz w:val="24"/>
          <w:szCs w:val="24"/>
          <w:shd w:val="clear" w:color="auto" w:fill="FFFFFF"/>
          <w:lang w:eastAsia="zh-CN"/>
        </w:rPr>
        <w:t>增长</w:t>
      </w:r>
      <w:r>
        <w:rPr>
          <w:rFonts w:hint="eastAsia" w:ascii="宋体" w:hAnsi="宋体" w:eastAsia="宋体"/>
          <w:color w:val="auto"/>
          <w:sz w:val="24"/>
          <w:szCs w:val="24"/>
          <w:shd w:val="clear" w:color="auto" w:fill="FFFFFF"/>
          <w:lang w:val="en-US" w:eastAsia="zh-CN"/>
        </w:rPr>
        <w:t>17.56</w:t>
      </w:r>
      <w:r>
        <w:rPr>
          <w:rFonts w:hint="eastAsia" w:ascii="宋体" w:hAnsi="宋体" w:eastAsia="宋体"/>
          <w:color w:val="auto"/>
          <w:sz w:val="24"/>
          <w:szCs w:val="24"/>
          <w:shd w:val="clear" w:color="auto" w:fill="FFFFFF"/>
        </w:rPr>
        <w:t xml:space="preserve"> %。其中：人员类项目支出</w:t>
      </w:r>
      <w:r>
        <w:rPr>
          <w:rFonts w:hint="eastAsia" w:ascii="宋体" w:hAnsi="宋体" w:eastAsia="宋体"/>
          <w:color w:val="auto"/>
          <w:sz w:val="24"/>
          <w:szCs w:val="24"/>
          <w:shd w:val="clear" w:color="auto" w:fill="FFFFFF"/>
          <w:lang w:val="en-US" w:eastAsia="zh-CN"/>
        </w:rPr>
        <w:t>70.7</w:t>
      </w:r>
      <w:r>
        <w:rPr>
          <w:rFonts w:hint="eastAsia" w:ascii="宋体" w:hAnsi="宋体" w:eastAsia="宋体"/>
          <w:color w:val="auto"/>
          <w:sz w:val="24"/>
          <w:szCs w:val="24"/>
          <w:shd w:val="clear" w:color="auto" w:fill="FFFFFF"/>
        </w:rPr>
        <w:t>万元，公用经费项目支出</w:t>
      </w:r>
      <w:r>
        <w:rPr>
          <w:rFonts w:hint="eastAsia" w:ascii="宋体" w:hAnsi="宋体" w:eastAsia="宋体"/>
          <w:color w:val="auto"/>
          <w:sz w:val="24"/>
          <w:szCs w:val="24"/>
          <w:shd w:val="clear" w:color="auto" w:fill="FFFFFF"/>
          <w:lang w:val="en-US" w:eastAsia="zh-CN"/>
        </w:rPr>
        <w:t>7.31</w:t>
      </w:r>
      <w:r>
        <w:rPr>
          <w:rFonts w:hint="eastAsia" w:ascii="宋体" w:hAnsi="宋体" w:eastAsia="宋体"/>
          <w:color w:val="auto"/>
          <w:sz w:val="24"/>
          <w:szCs w:val="24"/>
          <w:shd w:val="clear" w:color="auto" w:fill="FFFFFF"/>
        </w:rPr>
        <w:t>万元，其他运转类项目支出</w:t>
      </w:r>
      <w:r>
        <w:rPr>
          <w:rFonts w:hint="eastAsia" w:ascii="宋体" w:hAnsi="宋体" w:eastAsia="宋体"/>
          <w:color w:val="auto"/>
          <w:sz w:val="24"/>
          <w:szCs w:val="24"/>
          <w:shd w:val="clear" w:color="auto" w:fill="FFFFFF"/>
          <w:lang w:val="en-US" w:eastAsia="zh-CN"/>
        </w:rPr>
        <w:t>0</w:t>
      </w:r>
      <w:r>
        <w:rPr>
          <w:rFonts w:hint="eastAsia" w:ascii="宋体" w:hAnsi="宋体" w:eastAsia="宋体"/>
          <w:color w:val="auto"/>
          <w:sz w:val="24"/>
          <w:szCs w:val="24"/>
          <w:shd w:val="clear" w:color="auto" w:fill="FFFFFF"/>
        </w:rPr>
        <w:t>万元，特定目标类项目支出</w:t>
      </w:r>
      <w:r>
        <w:rPr>
          <w:rFonts w:hint="eastAsia" w:ascii="宋体" w:hAnsi="宋体" w:eastAsia="宋体"/>
          <w:color w:val="auto"/>
          <w:sz w:val="24"/>
          <w:szCs w:val="24"/>
          <w:shd w:val="clear" w:color="auto" w:fill="FFFFFF"/>
          <w:lang w:val="en-US" w:eastAsia="zh-CN"/>
        </w:rPr>
        <w:t>218</w:t>
      </w:r>
      <w:r>
        <w:rPr>
          <w:rFonts w:hint="eastAsia" w:ascii="宋体" w:hAnsi="宋体" w:eastAsia="宋体"/>
          <w:color w:val="auto"/>
          <w:sz w:val="24"/>
          <w:szCs w:val="24"/>
          <w:shd w:val="clear" w:color="auto" w:fill="FFFFFF"/>
        </w:rPr>
        <w:t>万元。本年支出构成为：一般公共服务支出</w:t>
      </w:r>
      <w:r>
        <w:rPr>
          <w:rFonts w:hint="eastAsia" w:ascii="宋体" w:hAnsi="宋体" w:eastAsia="宋体"/>
          <w:color w:val="auto"/>
          <w:sz w:val="24"/>
          <w:szCs w:val="24"/>
          <w:shd w:val="clear" w:color="auto" w:fill="FFFFFF"/>
          <w:lang w:val="en-US" w:eastAsia="zh-CN"/>
        </w:rPr>
        <w:t>278.39</w:t>
      </w:r>
      <w:r>
        <w:rPr>
          <w:rFonts w:hint="eastAsia" w:ascii="宋体" w:hAnsi="宋体" w:eastAsia="宋体"/>
          <w:color w:val="auto"/>
          <w:sz w:val="24"/>
          <w:szCs w:val="24"/>
          <w:shd w:val="clear" w:color="auto" w:fill="FFFFFF"/>
        </w:rPr>
        <w:t>万元，占本年支出</w:t>
      </w:r>
      <w:r>
        <w:rPr>
          <w:rFonts w:hint="eastAsia" w:ascii="宋体" w:hAnsi="宋体" w:eastAsia="宋体"/>
          <w:color w:val="auto"/>
          <w:sz w:val="24"/>
          <w:szCs w:val="24"/>
          <w:shd w:val="clear" w:color="auto" w:fill="FFFFFF"/>
          <w:lang w:val="en-US" w:eastAsia="zh-CN"/>
        </w:rPr>
        <w:t>94.05</w:t>
      </w:r>
      <w:r>
        <w:rPr>
          <w:rFonts w:hint="eastAsia" w:ascii="宋体" w:hAnsi="宋体" w:eastAsia="宋体"/>
          <w:color w:val="auto"/>
          <w:sz w:val="24"/>
          <w:szCs w:val="24"/>
          <w:shd w:val="clear" w:color="auto" w:fill="FFFFFF"/>
        </w:rPr>
        <w:t>％；社会保障和就业支出</w:t>
      </w:r>
      <w:r>
        <w:rPr>
          <w:rFonts w:hint="eastAsia" w:ascii="宋体" w:hAnsi="宋体" w:eastAsia="宋体"/>
          <w:color w:val="auto"/>
          <w:sz w:val="24"/>
          <w:szCs w:val="24"/>
          <w:shd w:val="clear" w:color="auto" w:fill="FFFFFF"/>
          <w:lang w:val="en-US" w:eastAsia="zh-CN"/>
        </w:rPr>
        <w:t>8</w:t>
      </w:r>
      <w:r>
        <w:rPr>
          <w:rFonts w:hint="eastAsia" w:ascii="宋体" w:hAnsi="宋体" w:eastAsia="宋体"/>
          <w:color w:val="auto"/>
          <w:sz w:val="24"/>
          <w:szCs w:val="24"/>
          <w:shd w:val="clear" w:color="auto" w:fill="FFFFFF"/>
        </w:rPr>
        <w:t>万元，占本年支出</w:t>
      </w:r>
      <w:r>
        <w:rPr>
          <w:rFonts w:hint="eastAsia" w:ascii="宋体" w:hAnsi="宋体" w:eastAsia="宋体"/>
          <w:color w:val="auto"/>
          <w:sz w:val="24"/>
          <w:szCs w:val="24"/>
          <w:shd w:val="clear" w:color="auto" w:fill="FFFFFF"/>
          <w:lang w:val="en-US" w:eastAsia="zh-CN"/>
        </w:rPr>
        <w:t>2.70</w:t>
      </w:r>
      <w:r>
        <w:rPr>
          <w:rFonts w:hint="eastAsia" w:ascii="宋体" w:hAnsi="宋体" w:eastAsia="宋体"/>
          <w:color w:val="auto"/>
          <w:sz w:val="24"/>
          <w:szCs w:val="24"/>
          <w:shd w:val="clear" w:color="auto" w:fill="FFFFFF"/>
        </w:rPr>
        <w:t>％；医疗卫生支出</w:t>
      </w:r>
      <w:r>
        <w:rPr>
          <w:rFonts w:hint="eastAsia" w:ascii="宋体" w:hAnsi="宋体" w:eastAsia="宋体"/>
          <w:color w:val="auto"/>
          <w:sz w:val="24"/>
          <w:szCs w:val="24"/>
          <w:shd w:val="clear" w:color="auto" w:fill="FFFFFF"/>
          <w:lang w:val="en-US" w:eastAsia="zh-CN"/>
        </w:rPr>
        <w:t>3.3</w:t>
      </w:r>
      <w:r>
        <w:rPr>
          <w:rFonts w:hint="eastAsia" w:ascii="宋体" w:hAnsi="宋体" w:eastAsia="宋体"/>
          <w:color w:val="auto"/>
          <w:sz w:val="24"/>
          <w:szCs w:val="24"/>
          <w:shd w:val="clear" w:color="auto" w:fill="FFFFFF"/>
        </w:rPr>
        <w:t>万元，占本年支出</w:t>
      </w:r>
      <w:r>
        <w:rPr>
          <w:rFonts w:hint="eastAsia" w:ascii="宋体" w:hAnsi="宋体" w:eastAsia="宋体"/>
          <w:color w:val="auto"/>
          <w:sz w:val="24"/>
          <w:szCs w:val="24"/>
          <w:shd w:val="clear" w:color="auto" w:fill="FFFFFF"/>
          <w:lang w:val="en-US" w:eastAsia="zh-CN"/>
        </w:rPr>
        <w:t>1.11</w:t>
      </w:r>
      <w:r>
        <w:rPr>
          <w:rFonts w:hint="eastAsia" w:ascii="宋体" w:hAnsi="宋体" w:eastAsia="宋体"/>
          <w:color w:val="auto"/>
          <w:sz w:val="24"/>
          <w:szCs w:val="24"/>
          <w:shd w:val="clear" w:color="auto" w:fill="FFFFFF"/>
        </w:rPr>
        <w:t>％</w:t>
      </w:r>
      <w:r>
        <w:rPr>
          <w:rFonts w:hint="eastAsia" w:ascii="宋体" w:hAnsi="宋体" w:eastAsia="宋体"/>
          <w:color w:val="auto"/>
          <w:sz w:val="24"/>
          <w:szCs w:val="24"/>
          <w:shd w:val="clear" w:color="auto" w:fill="FFFFFF"/>
          <w:lang w:eastAsia="zh-CN"/>
        </w:rPr>
        <w:t>；</w:t>
      </w:r>
      <w:r>
        <w:rPr>
          <w:rFonts w:hint="eastAsia" w:ascii="宋体" w:hAnsi="宋体" w:eastAsia="宋体"/>
          <w:color w:val="auto"/>
          <w:sz w:val="24"/>
          <w:szCs w:val="24"/>
          <w:shd w:val="clear" w:color="auto" w:fill="FFFFFF"/>
          <w:lang w:val="en-US" w:eastAsia="zh-CN"/>
        </w:rPr>
        <w:t>住房保障支出6.33万元，</w:t>
      </w:r>
      <w:r>
        <w:rPr>
          <w:rFonts w:hint="eastAsia" w:ascii="宋体" w:hAnsi="宋体" w:eastAsia="宋体"/>
          <w:color w:val="auto"/>
          <w:sz w:val="24"/>
          <w:szCs w:val="24"/>
          <w:shd w:val="clear" w:color="auto" w:fill="FFFFFF"/>
        </w:rPr>
        <w:t>占本年支出</w:t>
      </w:r>
      <w:r>
        <w:rPr>
          <w:rFonts w:hint="eastAsia" w:ascii="宋体" w:hAnsi="宋体" w:eastAsia="宋体"/>
          <w:color w:val="auto"/>
          <w:sz w:val="24"/>
          <w:szCs w:val="24"/>
          <w:shd w:val="clear" w:color="auto" w:fill="FFFFFF"/>
          <w:lang w:val="en-US" w:eastAsia="zh-CN"/>
        </w:rPr>
        <w:t>2.14</w:t>
      </w:r>
      <w:r>
        <w:rPr>
          <w:rFonts w:hint="eastAsia" w:ascii="宋体" w:hAnsi="宋体" w:eastAsia="宋体"/>
          <w:color w:val="auto"/>
          <w:sz w:val="24"/>
          <w:szCs w:val="24"/>
          <w:shd w:val="clear" w:color="auto" w:fill="FFFFFF"/>
        </w:rPr>
        <w:t>％</w:t>
      </w:r>
      <w:r>
        <w:rPr>
          <w:rFonts w:hint="eastAsia" w:ascii="宋体" w:hAnsi="宋体" w:eastAsia="宋体"/>
          <w:color w:val="auto"/>
          <w:sz w:val="24"/>
          <w:szCs w:val="24"/>
          <w:shd w:val="clear" w:color="auto" w:fill="FFFFFF"/>
          <w:lang w:eastAsia="zh-CN"/>
        </w:rPr>
        <w:t>。</w:t>
      </w:r>
      <w:r>
        <w:rPr>
          <w:rFonts w:hint="eastAsia" w:ascii="宋体" w:hAnsi="宋体" w:eastAsia="宋体"/>
          <w:color w:val="auto"/>
          <w:sz w:val="24"/>
          <w:szCs w:val="24"/>
          <w:shd w:val="clear" w:color="auto" w:fill="FFFFFF"/>
        </w:rPr>
        <w:t>支出增长主要原因是</w:t>
      </w:r>
      <w:r>
        <w:rPr>
          <w:rFonts w:hint="eastAsia" w:ascii="宋体" w:hAnsi="宋体" w:eastAsia="宋体"/>
          <w:color w:val="auto"/>
          <w:sz w:val="24"/>
          <w:szCs w:val="24"/>
          <w:shd w:val="clear" w:color="auto" w:fill="FFFFFF"/>
          <w:lang w:val="en-US" w:eastAsia="zh-CN"/>
        </w:rPr>
        <w:t>业务量增加、聘用人员增加，</w:t>
      </w:r>
      <w:r>
        <w:rPr>
          <w:rFonts w:hint="eastAsia" w:ascii="宋体" w:hAnsi="宋体" w:eastAsia="宋体"/>
          <w:color w:val="auto"/>
          <w:sz w:val="24"/>
          <w:szCs w:val="24"/>
          <w:shd w:val="clear" w:color="auto" w:fill="FFFFFF"/>
        </w:rPr>
        <w:t>相应的经费都有所增加。</w:t>
      </w:r>
    </w:p>
    <w:p w14:paraId="72D5EB0F">
      <w:pPr>
        <w:widowControl/>
        <w:shd w:val="clear" w:color="auto" w:fill="FFFFFF"/>
        <w:spacing w:line="360" w:lineRule="auto"/>
        <w:ind w:firstLine="480" w:firstLineChars="200"/>
        <w:jc w:val="left"/>
        <w:rPr>
          <w:rFonts w:hint="eastAsia" w:ascii="宋体" w:hAnsi="宋体" w:eastAsia="宋体"/>
          <w:color w:val="auto"/>
          <w:sz w:val="24"/>
          <w:szCs w:val="24"/>
          <w:shd w:val="clear" w:color="auto" w:fill="FFFFFF"/>
        </w:rPr>
      </w:pPr>
      <w:r>
        <w:rPr>
          <w:rFonts w:hint="eastAsia" w:ascii="宋体" w:hAnsi="宋体" w:eastAsia="宋体"/>
          <w:color w:val="auto"/>
          <w:sz w:val="24"/>
          <w:szCs w:val="24"/>
          <w:shd w:val="clear" w:color="auto" w:fill="FFFFFF"/>
        </w:rPr>
        <w:t>二、机关运行经费预算安排及增减变化情况</w:t>
      </w:r>
    </w:p>
    <w:p w14:paraId="44176E43">
      <w:pPr>
        <w:widowControl/>
        <w:shd w:val="clear" w:color="auto" w:fill="FFFFFF"/>
        <w:spacing w:line="360" w:lineRule="auto"/>
        <w:ind w:firstLine="480" w:firstLineChars="200"/>
        <w:jc w:val="both"/>
        <w:rPr>
          <w:rFonts w:hint="eastAsia" w:ascii="宋体" w:hAnsi="宋体" w:eastAsia="宋体"/>
          <w:color w:val="auto"/>
          <w:sz w:val="24"/>
          <w:szCs w:val="24"/>
          <w:shd w:val="clear" w:color="auto" w:fill="FFFFFF"/>
        </w:rPr>
      </w:pPr>
      <w:r>
        <w:rPr>
          <w:rFonts w:hint="eastAsia" w:ascii="宋体" w:hAnsi="宋体" w:eastAsia="宋体"/>
          <w:color w:val="auto"/>
          <w:sz w:val="24"/>
          <w:szCs w:val="24"/>
          <w:shd w:val="clear" w:color="auto" w:fill="FFFFFF"/>
          <w:lang w:eastAsia="zh-CN"/>
        </w:rPr>
        <w:t>2026</w:t>
      </w:r>
      <w:r>
        <w:rPr>
          <w:rFonts w:hint="eastAsia" w:ascii="宋体" w:hAnsi="宋体" w:eastAsia="宋体"/>
          <w:color w:val="auto"/>
          <w:sz w:val="24"/>
          <w:szCs w:val="24"/>
          <w:shd w:val="clear" w:color="auto" w:fill="FFFFFF"/>
        </w:rPr>
        <w:t>年机关运行经费预算总额</w:t>
      </w:r>
      <w:r>
        <w:rPr>
          <w:rFonts w:hint="eastAsia" w:ascii="宋体" w:hAnsi="宋体" w:eastAsia="宋体"/>
          <w:color w:val="auto"/>
          <w:sz w:val="24"/>
          <w:szCs w:val="24"/>
          <w:shd w:val="clear" w:color="auto" w:fill="FFFFFF"/>
          <w:lang w:val="en-US" w:eastAsia="zh-CN"/>
        </w:rPr>
        <w:t>7.31</w:t>
      </w:r>
      <w:r>
        <w:rPr>
          <w:rFonts w:hint="eastAsia" w:ascii="宋体" w:hAnsi="宋体" w:eastAsia="宋体"/>
          <w:color w:val="auto"/>
          <w:sz w:val="24"/>
          <w:szCs w:val="24"/>
          <w:shd w:val="clear" w:color="auto" w:fill="FFFFFF"/>
        </w:rPr>
        <w:t>万元，比上年预算</w:t>
      </w:r>
      <w:r>
        <w:rPr>
          <w:rFonts w:hint="eastAsia" w:ascii="宋体" w:hAnsi="宋体" w:eastAsia="宋体"/>
          <w:color w:val="auto"/>
          <w:sz w:val="24"/>
          <w:szCs w:val="24"/>
          <w:shd w:val="clear" w:color="auto" w:fill="FFFFFF"/>
          <w:lang w:eastAsia="zh-CN"/>
        </w:rPr>
        <w:t>增加</w:t>
      </w:r>
      <w:r>
        <w:rPr>
          <w:rFonts w:hint="eastAsia" w:ascii="宋体" w:hAnsi="宋体" w:eastAsia="宋体"/>
          <w:color w:val="auto"/>
          <w:sz w:val="24"/>
          <w:szCs w:val="24"/>
          <w:shd w:val="clear" w:color="auto" w:fill="FFFFFF"/>
          <w:lang w:val="en-US" w:eastAsia="zh-CN"/>
        </w:rPr>
        <w:t>0.03</w:t>
      </w:r>
      <w:r>
        <w:rPr>
          <w:rFonts w:hint="eastAsia" w:ascii="宋体" w:hAnsi="宋体" w:eastAsia="宋体"/>
          <w:color w:val="auto"/>
          <w:sz w:val="24"/>
          <w:szCs w:val="24"/>
          <w:shd w:val="clear" w:color="auto" w:fill="FFFFFF"/>
        </w:rPr>
        <w:t>万元，</w:t>
      </w:r>
      <w:r>
        <w:rPr>
          <w:rFonts w:hint="eastAsia" w:ascii="宋体" w:hAnsi="宋体" w:eastAsia="宋体"/>
          <w:color w:val="auto"/>
          <w:sz w:val="24"/>
          <w:szCs w:val="24"/>
          <w:shd w:val="clear" w:color="auto" w:fill="FFFFFF"/>
          <w:lang w:eastAsia="zh-CN"/>
        </w:rPr>
        <w:t>增长</w:t>
      </w:r>
      <w:r>
        <w:rPr>
          <w:rFonts w:hint="eastAsia" w:ascii="宋体" w:hAnsi="宋体" w:eastAsia="宋体"/>
          <w:color w:val="auto"/>
          <w:sz w:val="24"/>
          <w:szCs w:val="24"/>
          <w:shd w:val="clear" w:color="auto" w:fill="FFFFFF"/>
          <w:lang w:val="en-US" w:eastAsia="zh-CN"/>
        </w:rPr>
        <w:t>0.41</w:t>
      </w:r>
      <w:r>
        <w:rPr>
          <w:rFonts w:hint="eastAsia" w:ascii="宋体" w:hAnsi="宋体" w:eastAsia="宋体"/>
          <w:color w:val="auto"/>
          <w:sz w:val="24"/>
          <w:szCs w:val="24"/>
          <w:shd w:val="clear" w:color="auto" w:fill="FFFFFF"/>
          <w:lang w:eastAsia="zh-CN"/>
        </w:rPr>
        <w:t>%。</w:t>
      </w:r>
      <w:r>
        <w:rPr>
          <w:rFonts w:hint="eastAsia" w:ascii="宋体" w:hAnsi="宋体" w:eastAsia="宋体"/>
          <w:color w:val="auto"/>
          <w:sz w:val="24"/>
          <w:szCs w:val="24"/>
          <w:shd w:val="clear" w:color="auto" w:fill="FFFFFF"/>
        </w:rPr>
        <w:t>其中：办公费</w:t>
      </w:r>
      <w:r>
        <w:rPr>
          <w:rFonts w:hint="eastAsia" w:ascii="宋体" w:hAnsi="宋体" w:eastAsia="宋体"/>
          <w:color w:val="auto"/>
          <w:sz w:val="24"/>
          <w:szCs w:val="24"/>
          <w:shd w:val="clear" w:color="auto" w:fill="FFFFFF"/>
          <w:lang w:val="en-US" w:eastAsia="zh-CN"/>
        </w:rPr>
        <w:t>1.5</w:t>
      </w:r>
      <w:r>
        <w:rPr>
          <w:rFonts w:hint="eastAsia" w:ascii="宋体" w:hAnsi="宋体" w:eastAsia="宋体"/>
          <w:color w:val="auto"/>
          <w:sz w:val="24"/>
          <w:szCs w:val="24"/>
          <w:shd w:val="clear" w:color="auto" w:fill="FFFFFF"/>
        </w:rPr>
        <w:t>万元、印刷费</w:t>
      </w:r>
      <w:r>
        <w:rPr>
          <w:rFonts w:hint="eastAsia" w:ascii="宋体" w:hAnsi="宋体" w:eastAsia="宋体"/>
          <w:color w:val="auto"/>
          <w:sz w:val="24"/>
          <w:szCs w:val="24"/>
          <w:shd w:val="clear" w:color="auto" w:fill="FFFFFF"/>
          <w:lang w:val="en-US" w:eastAsia="zh-CN"/>
        </w:rPr>
        <w:t>0.3</w:t>
      </w:r>
      <w:r>
        <w:rPr>
          <w:rFonts w:hint="eastAsia" w:ascii="宋体" w:hAnsi="宋体" w:eastAsia="宋体"/>
          <w:color w:val="auto"/>
          <w:sz w:val="24"/>
          <w:szCs w:val="24"/>
          <w:shd w:val="clear" w:color="auto" w:fill="FFFFFF"/>
        </w:rPr>
        <w:t>万元、水费</w:t>
      </w:r>
      <w:r>
        <w:rPr>
          <w:rFonts w:hint="eastAsia" w:ascii="宋体" w:hAnsi="宋体" w:eastAsia="宋体"/>
          <w:color w:val="auto"/>
          <w:sz w:val="24"/>
          <w:szCs w:val="24"/>
          <w:shd w:val="clear" w:color="auto" w:fill="FFFFFF"/>
          <w:lang w:val="en-US" w:eastAsia="zh-CN"/>
        </w:rPr>
        <w:t>0.12</w:t>
      </w:r>
      <w:r>
        <w:rPr>
          <w:rFonts w:hint="eastAsia" w:ascii="宋体" w:hAnsi="宋体" w:eastAsia="宋体"/>
          <w:color w:val="auto"/>
          <w:sz w:val="24"/>
          <w:szCs w:val="24"/>
          <w:shd w:val="clear" w:color="auto" w:fill="FFFFFF"/>
        </w:rPr>
        <w:t>万元、电费</w:t>
      </w:r>
      <w:r>
        <w:rPr>
          <w:rFonts w:hint="eastAsia" w:ascii="宋体" w:hAnsi="宋体" w:eastAsia="宋体"/>
          <w:color w:val="auto"/>
          <w:sz w:val="24"/>
          <w:szCs w:val="24"/>
          <w:shd w:val="clear" w:color="auto" w:fill="FFFFFF"/>
          <w:lang w:val="en-US" w:eastAsia="zh-CN"/>
        </w:rPr>
        <w:t>0.48</w:t>
      </w:r>
      <w:r>
        <w:rPr>
          <w:rFonts w:hint="eastAsia" w:ascii="宋体" w:hAnsi="宋体" w:eastAsia="宋体"/>
          <w:color w:val="auto"/>
          <w:sz w:val="24"/>
          <w:szCs w:val="24"/>
          <w:shd w:val="clear" w:color="auto" w:fill="FFFFFF"/>
        </w:rPr>
        <w:t>万元、邮电费</w:t>
      </w:r>
      <w:r>
        <w:rPr>
          <w:rFonts w:hint="eastAsia" w:ascii="宋体" w:hAnsi="宋体" w:eastAsia="宋体"/>
          <w:color w:val="auto"/>
          <w:sz w:val="24"/>
          <w:szCs w:val="24"/>
          <w:shd w:val="clear" w:color="auto" w:fill="FFFFFF"/>
          <w:lang w:val="en-US" w:eastAsia="zh-CN"/>
        </w:rPr>
        <w:t>0.6</w:t>
      </w:r>
      <w:r>
        <w:rPr>
          <w:rFonts w:hint="eastAsia" w:ascii="宋体" w:hAnsi="宋体" w:eastAsia="宋体"/>
          <w:color w:val="auto"/>
          <w:sz w:val="24"/>
          <w:szCs w:val="24"/>
          <w:shd w:val="clear" w:color="auto" w:fill="FFFFFF"/>
        </w:rPr>
        <w:t>万元、</w:t>
      </w:r>
      <w:r>
        <w:rPr>
          <w:rFonts w:hint="eastAsia" w:ascii="宋体" w:hAnsi="宋体" w:eastAsia="宋体"/>
          <w:color w:val="auto"/>
          <w:sz w:val="24"/>
          <w:szCs w:val="24"/>
          <w:shd w:val="clear" w:color="auto" w:fill="FFFFFF"/>
          <w:lang w:eastAsia="zh-CN"/>
        </w:rPr>
        <w:t>物业管理费</w:t>
      </w:r>
      <w:r>
        <w:rPr>
          <w:rFonts w:hint="eastAsia" w:ascii="宋体" w:hAnsi="宋体" w:eastAsia="宋体"/>
          <w:color w:val="auto"/>
          <w:sz w:val="24"/>
          <w:szCs w:val="24"/>
          <w:shd w:val="clear" w:color="auto" w:fill="FFFFFF"/>
          <w:lang w:val="en-US" w:eastAsia="zh-CN"/>
        </w:rPr>
        <w:t>0.18</w:t>
      </w:r>
      <w:r>
        <w:rPr>
          <w:rFonts w:hint="eastAsia" w:ascii="宋体" w:hAnsi="宋体" w:eastAsia="宋体"/>
          <w:color w:val="auto"/>
          <w:sz w:val="24"/>
          <w:szCs w:val="24"/>
          <w:shd w:val="clear" w:color="auto" w:fill="FFFFFF"/>
        </w:rPr>
        <w:t>万元、差旅费</w:t>
      </w:r>
      <w:r>
        <w:rPr>
          <w:rFonts w:hint="eastAsia" w:ascii="宋体" w:hAnsi="宋体" w:eastAsia="宋体"/>
          <w:color w:val="auto"/>
          <w:sz w:val="24"/>
          <w:szCs w:val="24"/>
          <w:shd w:val="clear" w:color="auto" w:fill="FFFFFF"/>
          <w:lang w:val="en-US" w:eastAsia="zh-CN"/>
        </w:rPr>
        <w:t>1.2</w:t>
      </w:r>
      <w:r>
        <w:rPr>
          <w:rFonts w:hint="eastAsia" w:ascii="宋体" w:hAnsi="宋体" w:eastAsia="宋体"/>
          <w:color w:val="auto"/>
          <w:sz w:val="24"/>
          <w:szCs w:val="24"/>
          <w:shd w:val="clear" w:color="auto" w:fill="FFFFFF"/>
        </w:rPr>
        <w:t>万元</w:t>
      </w:r>
      <w:r>
        <w:rPr>
          <w:rFonts w:hint="eastAsia" w:ascii="宋体" w:hAnsi="宋体" w:eastAsia="宋体"/>
          <w:color w:val="auto"/>
          <w:sz w:val="24"/>
          <w:szCs w:val="24"/>
          <w:shd w:val="clear" w:color="auto" w:fill="FFFFFF"/>
          <w:lang w:eastAsia="zh-CN"/>
        </w:rPr>
        <w:t>、维护费</w:t>
      </w:r>
      <w:r>
        <w:rPr>
          <w:rFonts w:hint="eastAsia" w:ascii="宋体" w:hAnsi="宋体" w:eastAsia="宋体"/>
          <w:color w:val="auto"/>
          <w:sz w:val="24"/>
          <w:szCs w:val="24"/>
          <w:shd w:val="clear" w:color="auto" w:fill="FFFFFF"/>
          <w:lang w:val="en-US" w:eastAsia="zh-CN"/>
        </w:rPr>
        <w:t>0.18万元、会议费0.3万元、培训费0.12万元、公务接待费0.12万元、工会经费0.41万元、其他商品和服务1.8万元</w:t>
      </w:r>
      <w:r>
        <w:rPr>
          <w:rFonts w:hint="eastAsia" w:ascii="宋体" w:hAnsi="宋体" w:eastAsia="宋体"/>
          <w:color w:val="auto"/>
          <w:sz w:val="24"/>
          <w:szCs w:val="24"/>
          <w:shd w:val="clear" w:color="auto" w:fill="FFFFFF"/>
        </w:rPr>
        <w:t>。增长主要原因是</w:t>
      </w:r>
      <w:r>
        <w:rPr>
          <w:rFonts w:hint="eastAsia" w:ascii="宋体" w:hAnsi="宋体" w:eastAsia="宋体"/>
          <w:color w:val="auto"/>
          <w:sz w:val="24"/>
          <w:szCs w:val="24"/>
          <w:shd w:val="clear" w:color="auto" w:fill="FFFFFF"/>
          <w:lang w:eastAsia="zh-CN"/>
        </w:rPr>
        <w:t>工会经费</w:t>
      </w:r>
      <w:r>
        <w:rPr>
          <w:rFonts w:hint="eastAsia" w:ascii="宋体" w:hAnsi="宋体" w:eastAsia="宋体"/>
          <w:color w:val="auto"/>
          <w:sz w:val="24"/>
          <w:szCs w:val="24"/>
          <w:shd w:val="clear" w:color="auto" w:fill="FFFFFF"/>
        </w:rPr>
        <w:t>有所增加。</w:t>
      </w:r>
    </w:p>
    <w:p w14:paraId="7FB57E78">
      <w:pPr>
        <w:widowControl/>
        <w:shd w:val="clear" w:color="auto" w:fill="FFFFFF"/>
        <w:spacing w:line="360" w:lineRule="auto"/>
        <w:ind w:firstLine="480" w:firstLineChars="200"/>
        <w:jc w:val="left"/>
        <w:rPr>
          <w:rFonts w:hint="eastAsia" w:ascii="宋体" w:hAnsi="宋体" w:eastAsia="宋体"/>
          <w:color w:val="auto"/>
          <w:sz w:val="24"/>
          <w:szCs w:val="24"/>
          <w:shd w:val="clear" w:color="auto" w:fill="FFFFFF"/>
        </w:rPr>
      </w:pPr>
      <w:r>
        <w:rPr>
          <w:rFonts w:hint="eastAsia" w:ascii="宋体" w:hAnsi="宋体" w:eastAsia="宋体"/>
          <w:color w:val="auto"/>
          <w:sz w:val="24"/>
          <w:szCs w:val="24"/>
          <w:shd w:val="clear" w:color="auto" w:fill="FFFFFF"/>
        </w:rPr>
        <w:t>三、一般公共预算“三公”经费及增减变化情况</w:t>
      </w:r>
    </w:p>
    <w:p w14:paraId="4C6BF33E">
      <w:pPr>
        <w:widowControl/>
        <w:shd w:val="clear" w:color="auto" w:fill="FFFFFF"/>
        <w:spacing w:line="360" w:lineRule="auto"/>
        <w:ind w:firstLine="480" w:firstLineChars="200"/>
        <w:jc w:val="left"/>
        <w:rPr>
          <w:rFonts w:hint="eastAsia" w:ascii="宋体" w:hAnsi="宋体" w:eastAsia="宋体"/>
          <w:color w:val="auto"/>
          <w:sz w:val="24"/>
          <w:szCs w:val="24"/>
          <w:shd w:val="clear" w:color="auto" w:fill="FFFFFF"/>
          <w:lang w:val="en-US" w:eastAsia="zh-CN"/>
        </w:rPr>
      </w:pPr>
      <w:r>
        <w:rPr>
          <w:rFonts w:hint="eastAsia" w:ascii="宋体" w:hAnsi="宋体" w:eastAsia="宋体"/>
          <w:color w:val="auto"/>
          <w:sz w:val="24"/>
          <w:szCs w:val="24"/>
          <w:shd w:val="clear" w:color="auto" w:fill="FFFFFF"/>
          <w:lang w:eastAsia="zh-CN"/>
        </w:rPr>
        <w:t>2026</w:t>
      </w:r>
      <w:r>
        <w:rPr>
          <w:rFonts w:hint="eastAsia" w:ascii="宋体" w:hAnsi="宋体" w:eastAsia="宋体"/>
          <w:color w:val="auto"/>
          <w:sz w:val="24"/>
          <w:szCs w:val="24"/>
          <w:shd w:val="clear" w:color="auto" w:fill="FFFFFF"/>
        </w:rPr>
        <w:t>年“三公”经费预算</w:t>
      </w:r>
      <w:r>
        <w:rPr>
          <w:rFonts w:hint="eastAsia" w:ascii="宋体" w:hAnsi="宋体" w:eastAsia="宋体"/>
          <w:color w:val="auto"/>
          <w:sz w:val="24"/>
          <w:szCs w:val="24"/>
          <w:shd w:val="clear" w:color="auto" w:fill="FFFFFF"/>
          <w:lang w:val="en-US" w:eastAsia="zh-CN"/>
        </w:rPr>
        <w:t>0.12</w:t>
      </w:r>
      <w:r>
        <w:rPr>
          <w:rFonts w:hint="eastAsia" w:ascii="宋体" w:hAnsi="宋体" w:eastAsia="宋体"/>
          <w:color w:val="auto"/>
          <w:sz w:val="24"/>
          <w:szCs w:val="24"/>
          <w:shd w:val="clear" w:color="auto" w:fill="FFFFFF"/>
        </w:rPr>
        <w:t>万元，较上年预算</w:t>
      </w:r>
      <w:r>
        <w:rPr>
          <w:rFonts w:hint="eastAsia" w:ascii="宋体" w:hAnsi="宋体" w:eastAsia="宋体"/>
          <w:color w:val="auto"/>
          <w:sz w:val="24"/>
          <w:szCs w:val="24"/>
          <w:shd w:val="clear" w:color="auto" w:fill="FFFFFF"/>
          <w:lang w:eastAsia="zh-CN"/>
        </w:rPr>
        <w:t>无变化</w:t>
      </w:r>
      <w:r>
        <w:rPr>
          <w:rFonts w:hint="eastAsia" w:ascii="宋体" w:hAnsi="宋体" w:eastAsia="宋体"/>
          <w:color w:val="auto"/>
          <w:sz w:val="24"/>
          <w:szCs w:val="24"/>
          <w:shd w:val="clear" w:color="auto" w:fill="FFFFFF"/>
        </w:rPr>
        <w:t>，</w:t>
      </w:r>
      <w:r>
        <w:rPr>
          <w:rFonts w:hint="eastAsia" w:ascii="宋体" w:hAnsi="宋体" w:eastAsia="宋体"/>
          <w:color w:val="auto"/>
          <w:sz w:val="24"/>
          <w:szCs w:val="24"/>
          <w:shd w:val="clear" w:color="auto" w:fill="FFFFFF"/>
          <w:lang w:val="en-US" w:eastAsia="zh-CN"/>
        </w:rPr>
        <w:t>其</w:t>
      </w:r>
      <w:r>
        <w:rPr>
          <w:rFonts w:hint="eastAsia" w:ascii="宋体" w:hAnsi="宋体" w:eastAsia="宋体"/>
          <w:color w:val="auto"/>
          <w:sz w:val="24"/>
          <w:szCs w:val="24"/>
          <w:shd w:val="clear" w:color="auto" w:fill="FFFFFF"/>
          <w:lang w:eastAsia="zh-CN"/>
        </w:rPr>
        <w:t>中</w:t>
      </w:r>
      <w:r>
        <w:rPr>
          <w:rFonts w:hint="eastAsia" w:ascii="宋体" w:hAnsi="宋体" w:eastAsia="宋体"/>
          <w:color w:val="auto"/>
          <w:sz w:val="24"/>
          <w:szCs w:val="24"/>
          <w:shd w:val="clear" w:color="auto" w:fill="FFFFFF"/>
        </w:rPr>
        <w:t>：公务接待费</w:t>
      </w:r>
      <w:r>
        <w:rPr>
          <w:rFonts w:hint="eastAsia" w:ascii="宋体" w:hAnsi="宋体" w:eastAsia="宋体"/>
          <w:color w:val="auto"/>
          <w:sz w:val="24"/>
          <w:szCs w:val="24"/>
          <w:shd w:val="clear" w:color="auto" w:fill="FFFFFF"/>
          <w:lang w:val="en-US" w:eastAsia="zh-CN"/>
        </w:rPr>
        <w:t>0.12</w:t>
      </w:r>
      <w:r>
        <w:rPr>
          <w:rFonts w:hint="eastAsia" w:ascii="宋体" w:hAnsi="宋体" w:eastAsia="宋体"/>
          <w:color w:val="auto"/>
          <w:sz w:val="24"/>
          <w:szCs w:val="24"/>
          <w:shd w:val="clear" w:color="auto" w:fill="FFFFFF"/>
        </w:rPr>
        <w:t>万元，</w:t>
      </w:r>
      <w:r>
        <w:rPr>
          <w:rFonts w:hint="eastAsia" w:ascii="宋体" w:hAnsi="宋体" w:eastAsia="宋体"/>
          <w:color w:val="auto"/>
          <w:sz w:val="24"/>
          <w:szCs w:val="24"/>
          <w:shd w:val="clear" w:color="auto" w:fill="FFFFFF"/>
          <w:lang w:val="en-US" w:eastAsia="zh-CN"/>
        </w:rPr>
        <w:t>较上年无变化；因公出国（境）经费 0万元；公车运行维护费0万元。</w:t>
      </w:r>
    </w:p>
    <w:p w14:paraId="3609E140">
      <w:pPr>
        <w:widowControl/>
        <w:shd w:val="clear" w:color="auto" w:fill="FFFFFF"/>
        <w:spacing w:line="360" w:lineRule="auto"/>
        <w:ind w:firstLine="480" w:firstLineChars="200"/>
        <w:jc w:val="left"/>
        <w:rPr>
          <w:rFonts w:hint="eastAsia" w:ascii="宋体" w:hAnsi="宋体" w:eastAsia="宋体"/>
          <w:color w:val="auto"/>
          <w:sz w:val="24"/>
          <w:szCs w:val="24"/>
          <w:shd w:val="clear" w:color="auto" w:fill="FFFFFF"/>
          <w:lang w:val="en-US" w:eastAsia="zh-CN"/>
        </w:rPr>
      </w:pPr>
      <w:r>
        <w:rPr>
          <w:rFonts w:hint="eastAsia" w:ascii="宋体" w:hAnsi="宋体" w:eastAsia="宋体"/>
          <w:color w:val="auto"/>
          <w:sz w:val="24"/>
          <w:szCs w:val="24"/>
          <w:shd w:val="clear" w:color="auto" w:fill="FFFFFF"/>
          <w:lang w:val="en-US" w:eastAsia="zh-CN"/>
        </w:rPr>
        <w:t>四、政府采购预算安排情况</w:t>
      </w:r>
    </w:p>
    <w:p w14:paraId="4384F339">
      <w:pPr>
        <w:widowControl/>
        <w:shd w:val="clear" w:color="auto" w:fill="FFFFFF"/>
        <w:spacing w:line="360" w:lineRule="auto"/>
        <w:ind w:firstLine="480" w:firstLineChars="200"/>
        <w:jc w:val="left"/>
        <w:rPr>
          <w:rFonts w:hint="eastAsia" w:ascii="宋体" w:hAnsi="宋体" w:eastAsia="宋体"/>
          <w:color w:val="auto"/>
          <w:sz w:val="24"/>
          <w:szCs w:val="24"/>
          <w:shd w:val="clear" w:color="auto" w:fill="FFFFFF"/>
          <w:lang w:val="en-US" w:eastAsia="zh-CN"/>
        </w:rPr>
      </w:pPr>
      <w:r>
        <w:rPr>
          <w:rFonts w:hint="eastAsia" w:ascii="宋体" w:hAnsi="宋体" w:eastAsia="宋体"/>
          <w:color w:val="auto"/>
          <w:sz w:val="24"/>
          <w:szCs w:val="24"/>
          <w:shd w:val="clear" w:color="auto" w:fill="FFFFFF"/>
          <w:lang w:val="en-US" w:eastAsia="zh-CN"/>
        </w:rPr>
        <w:t>2026年政府采购预算0万元。</w:t>
      </w:r>
    </w:p>
    <w:p w14:paraId="152317EE">
      <w:pPr>
        <w:widowControl/>
        <w:shd w:val="clear" w:color="auto" w:fill="FFFFFF"/>
        <w:spacing w:line="360" w:lineRule="auto"/>
        <w:ind w:firstLine="480" w:firstLineChars="200"/>
        <w:jc w:val="left"/>
        <w:rPr>
          <w:rFonts w:hint="eastAsia" w:ascii="宋体" w:hAnsi="宋体" w:eastAsia="宋体"/>
          <w:color w:val="auto"/>
          <w:sz w:val="24"/>
          <w:szCs w:val="24"/>
          <w:shd w:val="clear" w:color="auto" w:fill="FFFFFF"/>
        </w:rPr>
      </w:pPr>
      <w:r>
        <w:rPr>
          <w:rFonts w:hint="eastAsia" w:ascii="宋体" w:hAnsi="宋体" w:eastAsia="宋体"/>
          <w:color w:val="auto"/>
          <w:sz w:val="24"/>
          <w:szCs w:val="24"/>
          <w:shd w:val="clear" w:color="auto" w:fill="FFFFFF"/>
        </w:rPr>
        <w:t>五、国有资产占用情况</w:t>
      </w:r>
    </w:p>
    <w:p w14:paraId="11112331">
      <w:pPr>
        <w:widowControl/>
        <w:shd w:val="clear" w:color="auto" w:fill="FFFFFF"/>
        <w:spacing w:line="360" w:lineRule="auto"/>
        <w:ind w:firstLine="480" w:firstLineChars="200"/>
        <w:jc w:val="left"/>
        <w:rPr>
          <w:rFonts w:hint="eastAsia" w:ascii="宋体" w:hAnsi="宋体" w:eastAsia="宋体"/>
          <w:color w:val="auto"/>
          <w:sz w:val="24"/>
          <w:szCs w:val="24"/>
          <w:shd w:val="clear" w:color="auto" w:fill="FFFFFF"/>
        </w:rPr>
      </w:pPr>
      <w:r>
        <w:rPr>
          <w:rFonts w:hint="eastAsia" w:ascii="宋体" w:hAnsi="宋体" w:eastAsia="宋体"/>
          <w:color w:val="auto"/>
          <w:sz w:val="24"/>
          <w:szCs w:val="24"/>
          <w:shd w:val="clear" w:color="auto" w:fill="FFFFFF"/>
        </w:rPr>
        <w:t>截至上年底，本部门占有使用国有资产</w:t>
      </w:r>
      <w:r>
        <w:rPr>
          <w:rFonts w:hint="eastAsia" w:ascii="宋体" w:hAnsi="宋体" w:eastAsia="宋体"/>
          <w:color w:val="auto"/>
          <w:sz w:val="24"/>
          <w:szCs w:val="24"/>
          <w:shd w:val="clear" w:color="auto" w:fill="FFFFFF"/>
          <w:lang w:val="en-US" w:eastAsia="zh-CN"/>
        </w:rPr>
        <w:t>553.16</w:t>
      </w:r>
      <w:r>
        <w:rPr>
          <w:rFonts w:hint="eastAsia" w:ascii="宋体" w:hAnsi="宋体" w:eastAsia="宋体"/>
          <w:color w:val="auto"/>
          <w:sz w:val="24"/>
          <w:szCs w:val="24"/>
          <w:shd w:val="clear" w:color="auto" w:fill="FFFFFF"/>
        </w:rPr>
        <w:t>万元，主要资产为</w:t>
      </w:r>
      <w:r>
        <w:rPr>
          <w:rFonts w:hint="eastAsia" w:ascii="宋体" w:hAnsi="宋体" w:eastAsia="宋体"/>
          <w:color w:val="auto"/>
          <w:sz w:val="24"/>
          <w:szCs w:val="24"/>
          <w:shd w:val="clear" w:color="auto" w:fill="FFFFFF"/>
          <w:lang w:eastAsia="zh-CN"/>
        </w:rPr>
        <w:t>：固定资产</w:t>
      </w:r>
      <w:r>
        <w:rPr>
          <w:rFonts w:hint="eastAsia" w:ascii="宋体" w:hAnsi="宋体" w:eastAsia="宋体"/>
          <w:color w:val="auto"/>
          <w:sz w:val="24"/>
          <w:szCs w:val="24"/>
          <w:shd w:val="clear" w:color="auto" w:fill="FFFFFF"/>
          <w:lang w:val="en-US" w:eastAsia="zh-CN"/>
        </w:rPr>
        <w:t>24.13万元、无形资产529.03万元</w:t>
      </w:r>
      <w:r>
        <w:rPr>
          <w:rFonts w:hint="eastAsia" w:ascii="宋体" w:hAnsi="宋体" w:eastAsia="宋体"/>
          <w:color w:val="auto"/>
          <w:sz w:val="24"/>
          <w:szCs w:val="24"/>
          <w:shd w:val="clear" w:color="auto" w:fill="FFFFFF"/>
        </w:rPr>
        <w:t>。</w:t>
      </w:r>
    </w:p>
    <w:p w14:paraId="7665C2DF">
      <w:pPr>
        <w:widowControl/>
        <w:shd w:val="clear" w:color="auto" w:fill="FFFFFF"/>
        <w:spacing w:line="360" w:lineRule="auto"/>
        <w:ind w:firstLine="480" w:firstLineChars="200"/>
        <w:jc w:val="left"/>
        <w:rPr>
          <w:rFonts w:hint="eastAsia" w:ascii="宋体" w:hAnsi="宋体" w:eastAsia="宋体"/>
          <w:color w:val="auto"/>
          <w:sz w:val="24"/>
          <w:szCs w:val="24"/>
          <w:shd w:val="clear" w:color="auto" w:fill="FFFFFF"/>
        </w:rPr>
      </w:pPr>
    </w:p>
    <w:p w14:paraId="5EE4002A">
      <w:pPr>
        <w:widowControl/>
        <w:shd w:val="clear" w:color="auto" w:fill="FFFFFF"/>
        <w:spacing w:line="360" w:lineRule="auto"/>
        <w:jc w:val="center"/>
        <w:rPr>
          <w:rFonts w:hint="eastAsia" w:ascii="宋体" w:hAnsi="宋体" w:eastAsia="宋体"/>
          <w:b/>
          <w:color w:val="auto"/>
          <w:sz w:val="28"/>
          <w:szCs w:val="28"/>
          <w:shd w:val="clear" w:color="auto" w:fill="FFFFFF"/>
        </w:rPr>
      </w:pPr>
      <w:r>
        <w:rPr>
          <w:rFonts w:hint="eastAsia" w:ascii="宋体" w:hAnsi="宋体" w:eastAsia="宋体"/>
          <w:b/>
          <w:color w:val="auto"/>
          <w:sz w:val="28"/>
          <w:szCs w:val="28"/>
          <w:shd w:val="clear" w:color="auto" w:fill="FFFFFF"/>
        </w:rPr>
        <w:t>第三部分　</w:t>
      </w:r>
      <w:r>
        <w:rPr>
          <w:rFonts w:hint="eastAsia" w:ascii="宋体" w:hAnsi="宋体" w:eastAsia="宋体"/>
          <w:b/>
          <w:color w:val="auto"/>
          <w:sz w:val="28"/>
          <w:szCs w:val="28"/>
          <w:shd w:val="clear" w:color="auto" w:fill="FFFFFF"/>
          <w:lang w:eastAsia="zh-CN"/>
        </w:rPr>
        <w:t>2026</w:t>
      </w:r>
      <w:r>
        <w:rPr>
          <w:rFonts w:hint="eastAsia" w:ascii="宋体" w:hAnsi="宋体" w:eastAsia="宋体"/>
          <w:b/>
          <w:color w:val="auto"/>
          <w:sz w:val="28"/>
          <w:szCs w:val="28"/>
          <w:shd w:val="clear" w:color="auto" w:fill="FFFFFF"/>
        </w:rPr>
        <w:t>年部门预算公开表</w:t>
      </w:r>
    </w:p>
    <w:p w14:paraId="5ECDC0DA">
      <w:pPr>
        <w:widowControl/>
        <w:shd w:val="clear" w:color="auto" w:fill="FFFFFF"/>
        <w:spacing w:line="360" w:lineRule="auto"/>
        <w:jc w:val="left"/>
        <w:rPr>
          <w:rFonts w:hint="eastAsia" w:ascii="宋体" w:hAnsi="宋体" w:eastAsia="宋体"/>
          <w:color w:val="auto"/>
          <w:sz w:val="28"/>
          <w:szCs w:val="28"/>
          <w:shd w:val="clear" w:color="auto" w:fill="FFFFFF"/>
        </w:rPr>
      </w:pPr>
      <w:r>
        <w:rPr>
          <w:rFonts w:hint="eastAsia" w:ascii="宋体" w:hAnsi="宋体" w:eastAsia="宋体"/>
          <w:color w:val="auto"/>
          <w:sz w:val="28"/>
          <w:szCs w:val="28"/>
          <w:shd w:val="clear" w:color="auto" w:fill="FFFFFF"/>
        </w:rPr>
        <w:t>附表：</w:t>
      </w:r>
      <w:r>
        <w:rPr>
          <w:rFonts w:hint="eastAsia" w:ascii="宋体" w:hAnsi="宋体" w:eastAsia="宋体"/>
          <w:color w:val="auto"/>
          <w:sz w:val="28"/>
          <w:szCs w:val="28"/>
          <w:shd w:val="clear" w:color="auto" w:fill="FFFFFF"/>
          <w:lang w:eastAsia="zh-CN"/>
        </w:rPr>
        <w:t>2026</w:t>
      </w:r>
      <w:r>
        <w:rPr>
          <w:rFonts w:hint="eastAsia" w:ascii="宋体" w:hAnsi="宋体" w:eastAsia="宋体"/>
          <w:color w:val="auto"/>
          <w:sz w:val="28"/>
          <w:szCs w:val="28"/>
          <w:shd w:val="clear" w:color="auto" w:fill="FFFFFF"/>
        </w:rPr>
        <w:t>年部门预算公开表</w:t>
      </w:r>
    </w:p>
    <w:p w14:paraId="44D8354B">
      <w:pPr>
        <w:widowControl/>
        <w:shd w:val="clear" w:color="auto" w:fill="FFFFFF"/>
        <w:spacing w:line="360" w:lineRule="auto"/>
        <w:jc w:val="left"/>
        <w:rPr>
          <w:rFonts w:hint="eastAsia" w:eastAsia="仿宋"/>
          <w:color w:val="auto"/>
          <w:lang w:eastAsia="zh-CN"/>
        </w:rPr>
      </w:pPr>
      <w:r>
        <w:rPr>
          <w:rFonts w:hint="eastAsia" w:eastAsia="仿宋"/>
          <w:color w:val="auto"/>
          <w:lang w:eastAsia="zh-CN"/>
        </w:rPr>
        <w:drawing>
          <wp:inline distT="0" distB="0" distL="114300" distR="114300">
            <wp:extent cx="5269230" cy="6612890"/>
            <wp:effectExtent l="0" t="0" r="7620" b="16510"/>
            <wp:docPr id="3" name="图片 3" descr="595d6d71-710f-4f09-9f47-1a324d751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95d6d71-710f-4f09-9f47-1a324d751816"/>
                    <pic:cNvPicPr>
                      <a:picLocks noChangeAspect="1"/>
                    </pic:cNvPicPr>
                  </pic:nvPicPr>
                  <pic:blipFill>
                    <a:blip r:embed="rId6"/>
                    <a:stretch>
                      <a:fillRect/>
                    </a:stretch>
                  </pic:blipFill>
                  <pic:spPr>
                    <a:xfrm>
                      <a:off x="0" y="0"/>
                      <a:ext cx="5269230" cy="6612890"/>
                    </a:xfrm>
                    <a:prstGeom prst="rect">
                      <a:avLst/>
                    </a:prstGeom>
                  </pic:spPr>
                </pic:pic>
              </a:graphicData>
            </a:graphic>
          </wp:inline>
        </w:drawing>
      </w:r>
    </w:p>
    <w:p w14:paraId="7A3DB650">
      <w:pPr>
        <w:widowControl/>
        <w:shd w:val="clear" w:color="auto" w:fill="FFFFFF"/>
        <w:spacing w:line="360" w:lineRule="auto"/>
        <w:jc w:val="left"/>
        <w:rPr>
          <w:color w:val="auto"/>
        </w:rPr>
      </w:pPr>
    </w:p>
    <w:p w14:paraId="3FC3511F">
      <w:pPr>
        <w:widowControl/>
        <w:shd w:val="clear" w:color="auto" w:fill="FFFFFF"/>
        <w:spacing w:line="360" w:lineRule="auto"/>
        <w:jc w:val="left"/>
        <w:rPr>
          <w:rFonts w:hint="eastAsia" w:eastAsia="仿宋"/>
          <w:color w:val="auto"/>
          <w:lang w:eastAsia="zh-CN"/>
        </w:rPr>
      </w:pPr>
      <w:r>
        <w:rPr>
          <w:color w:val="auto"/>
        </w:rPr>
        <w:drawing>
          <wp:inline distT="0" distB="0" distL="114300" distR="114300">
            <wp:extent cx="5270500" cy="1639570"/>
            <wp:effectExtent l="0" t="0" r="6350" b="1778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7"/>
                    <a:stretch>
                      <a:fillRect/>
                    </a:stretch>
                  </pic:blipFill>
                  <pic:spPr>
                    <a:xfrm>
                      <a:off x="0" y="0"/>
                      <a:ext cx="5270500" cy="1639570"/>
                    </a:xfrm>
                    <a:prstGeom prst="rect">
                      <a:avLst/>
                    </a:prstGeom>
                    <a:noFill/>
                    <a:ln>
                      <a:noFill/>
                    </a:ln>
                  </pic:spPr>
                </pic:pic>
              </a:graphicData>
            </a:graphic>
          </wp:inline>
        </w:drawing>
      </w:r>
      <w:r>
        <w:rPr>
          <w:rFonts w:hint="eastAsia" w:eastAsia="仿宋"/>
          <w:color w:val="auto"/>
          <w:lang w:eastAsia="zh-CN"/>
        </w:rPr>
        <w:drawing>
          <wp:inline distT="0" distB="0" distL="114300" distR="114300">
            <wp:extent cx="5269230" cy="4129405"/>
            <wp:effectExtent l="0" t="0" r="7620" b="4445"/>
            <wp:docPr id="14" name="图片 14" descr="09592809-40ed-4313-b9da-fd71a876e6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09592809-40ed-4313-b9da-fd71a876e6c0"/>
                    <pic:cNvPicPr>
                      <a:picLocks noChangeAspect="1"/>
                    </pic:cNvPicPr>
                  </pic:nvPicPr>
                  <pic:blipFill>
                    <a:blip r:embed="rId8"/>
                    <a:stretch>
                      <a:fillRect/>
                    </a:stretch>
                  </pic:blipFill>
                  <pic:spPr>
                    <a:xfrm>
                      <a:off x="0" y="0"/>
                      <a:ext cx="5269230" cy="4129405"/>
                    </a:xfrm>
                    <a:prstGeom prst="rect">
                      <a:avLst/>
                    </a:prstGeom>
                  </pic:spPr>
                </pic:pic>
              </a:graphicData>
            </a:graphic>
          </wp:inline>
        </w:drawing>
      </w:r>
      <w:r>
        <w:rPr>
          <w:rFonts w:hint="eastAsia" w:eastAsia="仿宋"/>
          <w:color w:val="auto"/>
          <w:lang w:eastAsia="zh-CN"/>
        </w:rPr>
        <w:drawing>
          <wp:inline distT="0" distB="0" distL="114300" distR="114300">
            <wp:extent cx="5267325" cy="5918200"/>
            <wp:effectExtent l="0" t="0" r="9525" b="6350"/>
            <wp:docPr id="18" name="图片 18" descr="26763332-e9d8-40a6-a98b-0f3ba8641b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26763332-e9d8-40a6-a98b-0f3ba8641b74"/>
                    <pic:cNvPicPr>
                      <a:picLocks noChangeAspect="1"/>
                    </pic:cNvPicPr>
                  </pic:nvPicPr>
                  <pic:blipFill>
                    <a:blip r:embed="rId9"/>
                    <a:stretch>
                      <a:fillRect/>
                    </a:stretch>
                  </pic:blipFill>
                  <pic:spPr>
                    <a:xfrm>
                      <a:off x="0" y="0"/>
                      <a:ext cx="5267325" cy="5918200"/>
                    </a:xfrm>
                    <a:prstGeom prst="rect">
                      <a:avLst/>
                    </a:prstGeom>
                  </pic:spPr>
                </pic:pic>
              </a:graphicData>
            </a:graphic>
          </wp:inline>
        </w:drawing>
      </w:r>
    </w:p>
    <w:p w14:paraId="0E073A27">
      <w:pPr>
        <w:widowControl/>
        <w:shd w:val="clear" w:color="auto" w:fill="FFFFFF"/>
        <w:spacing w:line="360" w:lineRule="auto"/>
        <w:jc w:val="left"/>
        <w:rPr>
          <w:rFonts w:hint="eastAsia" w:eastAsia="仿宋"/>
          <w:color w:val="auto"/>
          <w:lang w:eastAsia="zh-CN"/>
        </w:rPr>
      </w:pPr>
      <w:r>
        <w:rPr>
          <w:color w:val="auto"/>
        </w:rPr>
        <w:drawing>
          <wp:inline distT="0" distB="0" distL="114300" distR="114300">
            <wp:extent cx="5271770" cy="2586990"/>
            <wp:effectExtent l="0" t="0" r="5080" b="3810"/>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10"/>
                    <a:stretch>
                      <a:fillRect/>
                    </a:stretch>
                  </pic:blipFill>
                  <pic:spPr>
                    <a:xfrm>
                      <a:off x="0" y="0"/>
                      <a:ext cx="5271770" cy="2586990"/>
                    </a:xfrm>
                    <a:prstGeom prst="rect">
                      <a:avLst/>
                    </a:prstGeom>
                    <a:noFill/>
                    <a:ln>
                      <a:noFill/>
                    </a:ln>
                  </pic:spPr>
                </pic:pic>
              </a:graphicData>
            </a:graphic>
          </wp:inline>
        </w:drawing>
      </w:r>
      <w:r>
        <w:rPr>
          <w:rFonts w:hint="eastAsia" w:eastAsia="仿宋"/>
          <w:color w:val="auto"/>
          <w:lang w:eastAsia="zh-CN"/>
        </w:rPr>
        <w:drawing>
          <wp:inline distT="0" distB="0" distL="114300" distR="114300">
            <wp:extent cx="5268595" cy="5709285"/>
            <wp:effectExtent l="0" t="0" r="8255" b="5715"/>
            <wp:docPr id="19" name="图片 19" descr="b4d9cc0d-83d4-4c7e-80ca-f89dd307ee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b4d9cc0d-83d4-4c7e-80ca-f89dd307eed0"/>
                    <pic:cNvPicPr>
                      <a:picLocks noChangeAspect="1"/>
                    </pic:cNvPicPr>
                  </pic:nvPicPr>
                  <pic:blipFill>
                    <a:blip r:embed="rId11"/>
                    <a:stretch>
                      <a:fillRect/>
                    </a:stretch>
                  </pic:blipFill>
                  <pic:spPr>
                    <a:xfrm>
                      <a:off x="0" y="0"/>
                      <a:ext cx="5268595" cy="5709285"/>
                    </a:xfrm>
                    <a:prstGeom prst="rect">
                      <a:avLst/>
                    </a:prstGeom>
                  </pic:spPr>
                </pic:pic>
              </a:graphicData>
            </a:graphic>
          </wp:inline>
        </w:drawing>
      </w:r>
      <w:r>
        <w:rPr>
          <w:rFonts w:hint="eastAsia" w:eastAsia="仿宋"/>
          <w:color w:val="auto"/>
          <w:lang w:eastAsia="zh-CN"/>
        </w:rPr>
        <w:drawing>
          <wp:inline distT="0" distB="0" distL="114300" distR="114300">
            <wp:extent cx="5274310" cy="1389380"/>
            <wp:effectExtent l="0" t="0" r="2540" b="1270"/>
            <wp:docPr id="20" name="图片 20" descr="32eb5eae-6e7c-4eb3-9f09-834ac76afa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32eb5eae-6e7c-4eb3-9f09-834ac76afa70"/>
                    <pic:cNvPicPr>
                      <a:picLocks noChangeAspect="1"/>
                    </pic:cNvPicPr>
                  </pic:nvPicPr>
                  <pic:blipFill>
                    <a:blip r:embed="rId12"/>
                    <a:stretch>
                      <a:fillRect/>
                    </a:stretch>
                  </pic:blipFill>
                  <pic:spPr>
                    <a:xfrm>
                      <a:off x="0" y="0"/>
                      <a:ext cx="5274310" cy="1389380"/>
                    </a:xfrm>
                    <a:prstGeom prst="rect">
                      <a:avLst/>
                    </a:prstGeom>
                  </pic:spPr>
                </pic:pic>
              </a:graphicData>
            </a:graphic>
          </wp:inline>
        </w:drawing>
      </w:r>
      <w:r>
        <w:rPr>
          <w:rFonts w:hint="eastAsia" w:ascii="宋体" w:hAnsi="宋体" w:eastAsia="宋体"/>
          <w:color w:val="auto"/>
          <w:sz w:val="24"/>
          <w:szCs w:val="24"/>
          <w:shd w:val="clear" w:color="auto" w:fill="FFFFFF"/>
          <w:lang w:val="en-US" w:eastAsia="zh-CN"/>
        </w:rPr>
        <w:t>本部门无“三公”经费支出，因此本表无数据。</w:t>
      </w:r>
      <w:r>
        <w:rPr>
          <w:rFonts w:hint="eastAsia" w:eastAsia="仿宋"/>
          <w:color w:val="auto"/>
          <w:lang w:eastAsia="zh-CN"/>
        </w:rPr>
        <w:drawing>
          <wp:inline distT="0" distB="0" distL="114300" distR="114300">
            <wp:extent cx="5268595" cy="1075690"/>
            <wp:effectExtent l="0" t="0" r="8255" b="10160"/>
            <wp:docPr id="21" name="图片 21" descr="323e193b-1639-4e22-8c98-d9f30f7cb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323e193b-1639-4e22-8c98-d9f30f7cb305"/>
                    <pic:cNvPicPr>
                      <a:picLocks noChangeAspect="1"/>
                    </pic:cNvPicPr>
                  </pic:nvPicPr>
                  <pic:blipFill>
                    <a:blip r:embed="rId13"/>
                    <a:stretch>
                      <a:fillRect/>
                    </a:stretch>
                  </pic:blipFill>
                  <pic:spPr>
                    <a:xfrm>
                      <a:off x="0" y="0"/>
                      <a:ext cx="5268595" cy="1075690"/>
                    </a:xfrm>
                    <a:prstGeom prst="rect">
                      <a:avLst/>
                    </a:prstGeom>
                  </pic:spPr>
                </pic:pic>
              </a:graphicData>
            </a:graphic>
          </wp:inline>
        </w:drawing>
      </w:r>
      <w:r>
        <w:rPr>
          <w:rFonts w:hint="eastAsia" w:ascii="宋体" w:hAnsi="宋体" w:eastAsia="宋体"/>
          <w:color w:val="auto"/>
          <w:sz w:val="24"/>
          <w:szCs w:val="24"/>
          <w:shd w:val="clear" w:color="auto" w:fill="FFFFFF"/>
          <w:lang w:val="en-US" w:eastAsia="zh-CN"/>
        </w:rPr>
        <w:t>本部门无政府性基金安排的收入和支出，因此本表无数据。</w:t>
      </w:r>
    </w:p>
    <w:p w14:paraId="19922497">
      <w:pPr>
        <w:widowControl/>
        <w:shd w:val="clear" w:color="auto" w:fill="FFFFFF"/>
        <w:spacing w:line="360" w:lineRule="auto"/>
        <w:jc w:val="left"/>
        <w:rPr>
          <w:rFonts w:hint="eastAsia" w:eastAsia="仿宋"/>
          <w:color w:val="auto"/>
          <w:lang w:eastAsia="zh-CN"/>
        </w:rPr>
      </w:pPr>
      <w:r>
        <w:rPr>
          <w:color w:val="auto"/>
        </w:rPr>
        <w:drawing>
          <wp:inline distT="0" distB="0" distL="114300" distR="114300">
            <wp:extent cx="5364480" cy="2049780"/>
            <wp:effectExtent l="0" t="0" r="7620" b="762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4"/>
                    <a:stretch>
                      <a:fillRect/>
                    </a:stretch>
                  </pic:blipFill>
                  <pic:spPr>
                    <a:xfrm>
                      <a:off x="0" y="0"/>
                      <a:ext cx="5364480" cy="2049780"/>
                    </a:xfrm>
                    <a:prstGeom prst="rect">
                      <a:avLst/>
                    </a:prstGeom>
                    <a:noFill/>
                    <a:ln>
                      <a:noFill/>
                    </a:ln>
                  </pic:spPr>
                </pic:pic>
              </a:graphicData>
            </a:graphic>
          </wp:inline>
        </w:drawing>
      </w:r>
      <w:r>
        <w:rPr>
          <w:rFonts w:hint="eastAsia" w:eastAsia="仿宋"/>
          <w:color w:val="auto"/>
          <w:lang w:eastAsia="zh-CN"/>
        </w:rPr>
        <w:drawing>
          <wp:inline distT="0" distB="0" distL="114300" distR="114300">
            <wp:extent cx="5273040" cy="1233805"/>
            <wp:effectExtent l="0" t="0" r="3810" b="4445"/>
            <wp:docPr id="23" name="图片 23" descr="27c88ba5-71d2-4043-aa5e-47d35af96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27c88ba5-71d2-4043-aa5e-47d35af96083"/>
                    <pic:cNvPicPr>
                      <a:picLocks noChangeAspect="1"/>
                    </pic:cNvPicPr>
                  </pic:nvPicPr>
                  <pic:blipFill>
                    <a:blip r:embed="rId15"/>
                    <a:stretch>
                      <a:fillRect/>
                    </a:stretch>
                  </pic:blipFill>
                  <pic:spPr>
                    <a:xfrm>
                      <a:off x="0" y="0"/>
                      <a:ext cx="5273040" cy="1233805"/>
                    </a:xfrm>
                    <a:prstGeom prst="rect">
                      <a:avLst/>
                    </a:prstGeom>
                  </pic:spPr>
                </pic:pic>
              </a:graphicData>
            </a:graphic>
          </wp:inline>
        </w:drawing>
      </w:r>
    </w:p>
    <w:p w14:paraId="2BDB0D48">
      <w:pPr>
        <w:widowControl/>
        <w:shd w:val="clear" w:color="auto" w:fill="FFFFFF"/>
        <w:spacing w:line="360" w:lineRule="auto"/>
        <w:jc w:val="left"/>
        <w:rPr>
          <w:rFonts w:hint="eastAsia" w:ascii="宋体" w:hAnsi="宋体" w:eastAsia="宋体"/>
          <w:color w:val="auto"/>
          <w:sz w:val="24"/>
          <w:szCs w:val="24"/>
          <w:shd w:val="clear" w:color="auto" w:fill="FFFFFF"/>
          <w:lang w:val="en-US" w:eastAsia="zh-CN"/>
        </w:rPr>
      </w:pPr>
      <w:r>
        <w:rPr>
          <w:rFonts w:hint="eastAsia" w:ascii="宋体" w:hAnsi="宋体" w:eastAsia="宋体"/>
          <w:color w:val="auto"/>
          <w:sz w:val="24"/>
          <w:szCs w:val="24"/>
          <w:shd w:val="clear" w:color="auto" w:fill="FFFFFF"/>
          <w:lang w:val="en-US" w:eastAsia="zh-CN"/>
        </w:rPr>
        <w:t>本部门无国有资本安排的收入和支出，因此本表无数据。</w:t>
      </w:r>
    </w:p>
    <w:p w14:paraId="6A98C207">
      <w:pPr>
        <w:widowControl/>
        <w:shd w:val="clear" w:color="auto" w:fill="FFFFFF"/>
        <w:spacing w:line="360" w:lineRule="auto"/>
        <w:jc w:val="left"/>
        <w:rPr>
          <w:rFonts w:hint="eastAsia" w:ascii="宋体" w:hAnsi="宋体" w:eastAsia="宋体"/>
          <w:color w:val="auto"/>
          <w:sz w:val="24"/>
          <w:szCs w:val="24"/>
          <w:shd w:val="clear" w:color="auto" w:fill="FFFFFF"/>
          <w:lang w:val="en-US" w:eastAsia="zh-CN"/>
        </w:rPr>
      </w:pPr>
      <w:bookmarkStart w:id="0" w:name="_GoBack"/>
      <w:bookmarkEnd w:id="0"/>
    </w:p>
    <w:p w14:paraId="6E3376EF">
      <w:pPr>
        <w:widowControl/>
        <w:shd w:val="clear" w:color="auto" w:fill="FFFFFF"/>
        <w:spacing w:line="360" w:lineRule="auto"/>
        <w:jc w:val="center"/>
        <w:rPr>
          <w:rFonts w:hint="eastAsia" w:ascii="宋体" w:hAnsi="宋体" w:eastAsia="宋体"/>
          <w:b/>
          <w:color w:val="auto"/>
          <w:sz w:val="28"/>
          <w:szCs w:val="28"/>
          <w:shd w:val="clear" w:color="auto" w:fill="FFFFFF"/>
        </w:rPr>
      </w:pPr>
      <w:r>
        <w:rPr>
          <w:rFonts w:hint="eastAsia" w:ascii="宋体" w:hAnsi="宋体" w:eastAsia="宋体"/>
          <w:b/>
          <w:color w:val="auto"/>
          <w:sz w:val="28"/>
          <w:szCs w:val="28"/>
          <w:shd w:val="clear" w:color="auto" w:fill="FFFFFF"/>
        </w:rPr>
        <w:t>四部分　名词解释</w:t>
      </w:r>
    </w:p>
    <w:p w14:paraId="3F2DF537">
      <w:pPr>
        <w:widowControl/>
        <w:shd w:val="clear" w:color="auto" w:fill="FFFFFF"/>
        <w:spacing w:line="360" w:lineRule="auto"/>
        <w:ind w:firstLine="480" w:firstLineChars="200"/>
        <w:jc w:val="left"/>
        <w:rPr>
          <w:rFonts w:hint="eastAsia" w:ascii="宋体" w:hAnsi="宋体" w:eastAsia="宋体"/>
          <w:color w:val="auto"/>
          <w:sz w:val="24"/>
          <w:szCs w:val="24"/>
          <w:shd w:val="clear" w:color="auto" w:fill="FFFFFF"/>
        </w:rPr>
      </w:pPr>
      <w:r>
        <w:rPr>
          <w:rFonts w:hint="eastAsia" w:ascii="宋体" w:hAnsi="宋体" w:eastAsia="宋体"/>
          <w:color w:val="auto"/>
          <w:sz w:val="24"/>
          <w:szCs w:val="24"/>
          <w:shd w:val="clear" w:color="auto" w:fill="FFFFFF"/>
        </w:rPr>
        <w:t>一、一般公共预算财政拨款收入：指本级财政一般公共预算当年拨付的资金。</w:t>
      </w:r>
    </w:p>
    <w:p w14:paraId="09D83EB9">
      <w:pPr>
        <w:widowControl/>
        <w:shd w:val="clear" w:color="auto" w:fill="FFFFFF"/>
        <w:spacing w:line="360" w:lineRule="auto"/>
        <w:ind w:firstLine="480" w:firstLineChars="200"/>
        <w:jc w:val="left"/>
        <w:rPr>
          <w:rFonts w:hint="eastAsia" w:ascii="宋体" w:hAnsi="宋体" w:eastAsia="宋体"/>
          <w:color w:val="auto"/>
          <w:sz w:val="24"/>
          <w:szCs w:val="24"/>
          <w:shd w:val="clear" w:color="auto" w:fill="FFFFFF"/>
        </w:rPr>
      </w:pPr>
      <w:r>
        <w:rPr>
          <w:rFonts w:hint="eastAsia" w:ascii="宋体" w:hAnsi="宋体" w:eastAsia="宋体"/>
          <w:color w:val="auto"/>
          <w:sz w:val="24"/>
          <w:szCs w:val="24"/>
          <w:shd w:val="clear" w:color="auto" w:fill="FFFFFF"/>
        </w:rPr>
        <w:t>二、人员类项目：指部门和单位有关人员的工资福利支出、对个人和家庭的补助支出项目。</w:t>
      </w:r>
    </w:p>
    <w:p w14:paraId="23A48D2B">
      <w:pPr>
        <w:widowControl/>
        <w:shd w:val="clear" w:color="auto" w:fill="FFFFFF"/>
        <w:spacing w:line="360" w:lineRule="auto"/>
        <w:ind w:firstLine="480" w:firstLineChars="200"/>
        <w:jc w:val="left"/>
        <w:rPr>
          <w:rFonts w:hint="eastAsia" w:ascii="宋体" w:hAnsi="宋体" w:eastAsia="宋体"/>
          <w:color w:val="auto"/>
          <w:sz w:val="24"/>
          <w:szCs w:val="24"/>
          <w:shd w:val="clear" w:color="auto" w:fill="FFFFFF"/>
        </w:rPr>
      </w:pPr>
      <w:r>
        <w:rPr>
          <w:rFonts w:hint="eastAsia" w:ascii="宋体" w:hAnsi="宋体" w:eastAsia="宋体"/>
          <w:color w:val="auto"/>
          <w:sz w:val="24"/>
          <w:szCs w:val="24"/>
          <w:shd w:val="clear" w:color="auto" w:fill="FFFFFF"/>
        </w:rPr>
        <w:t>三、运转类项目：指各部门和单位为保障其机构自身正常运转、完成日常工作任务所发生的公用经费项目和专项用于大型公用设施、大型专用设备、专业信息系统运行维护等的其他运转类项目。</w:t>
      </w:r>
    </w:p>
    <w:p w14:paraId="0B54CC45">
      <w:pPr>
        <w:widowControl/>
        <w:shd w:val="clear" w:color="auto" w:fill="FFFFFF"/>
        <w:spacing w:line="360" w:lineRule="auto"/>
        <w:ind w:firstLine="480" w:firstLineChars="200"/>
        <w:jc w:val="left"/>
        <w:rPr>
          <w:rFonts w:hint="eastAsia" w:ascii="宋体" w:hAnsi="宋体" w:eastAsia="宋体"/>
          <w:color w:val="auto"/>
          <w:sz w:val="24"/>
          <w:szCs w:val="24"/>
          <w:shd w:val="clear" w:color="auto" w:fill="FFFFFF"/>
        </w:rPr>
      </w:pPr>
      <w:r>
        <w:rPr>
          <w:rFonts w:hint="eastAsia" w:ascii="宋体" w:hAnsi="宋体" w:eastAsia="宋体"/>
          <w:color w:val="auto"/>
          <w:sz w:val="24"/>
          <w:szCs w:val="24"/>
          <w:shd w:val="clear" w:color="auto" w:fill="FFFFFF"/>
        </w:rPr>
        <w:t>四、特定目标类项目：指部门和单位为完成其特定的工作任务和事业发展目标所发生的支出。</w:t>
      </w:r>
    </w:p>
    <w:p w14:paraId="323BE0C3">
      <w:pPr>
        <w:widowControl/>
        <w:shd w:val="clear" w:color="auto" w:fill="FFFFFF"/>
        <w:spacing w:line="360" w:lineRule="auto"/>
        <w:ind w:firstLine="480" w:firstLineChars="200"/>
        <w:jc w:val="left"/>
        <w:rPr>
          <w:rFonts w:hint="eastAsia" w:ascii="宋体" w:hAnsi="宋体" w:eastAsia="宋体"/>
          <w:color w:val="auto"/>
          <w:sz w:val="24"/>
          <w:szCs w:val="24"/>
          <w:shd w:val="clear" w:color="auto" w:fill="FFFFFF"/>
        </w:rPr>
      </w:pPr>
      <w:r>
        <w:rPr>
          <w:rFonts w:hint="eastAsia" w:ascii="宋体" w:hAnsi="宋体" w:eastAsia="宋体"/>
          <w:color w:val="auto"/>
          <w:sz w:val="24"/>
          <w:szCs w:val="24"/>
          <w:shd w:val="clear" w:color="auto" w:fill="FFFFFF"/>
        </w:rPr>
        <w:t>五、机关运行经费：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14:paraId="51F75FAD">
      <w:pPr>
        <w:widowControl/>
        <w:shd w:val="clear" w:color="auto" w:fill="FFFFFF"/>
        <w:spacing w:line="360" w:lineRule="auto"/>
        <w:ind w:firstLine="480" w:firstLineChars="200"/>
        <w:jc w:val="left"/>
        <w:rPr>
          <w:rFonts w:hint="eastAsia" w:ascii="宋体" w:hAnsi="宋体" w:eastAsia="宋体"/>
          <w:color w:val="auto"/>
          <w:sz w:val="24"/>
          <w:szCs w:val="24"/>
          <w:shd w:val="clear" w:color="auto" w:fill="FFFFFF"/>
        </w:rPr>
      </w:pPr>
      <w:r>
        <w:rPr>
          <w:rFonts w:hint="eastAsia" w:ascii="宋体" w:hAnsi="宋体" w:eastAsia="宋体"/>
          <w:color w:val="auto"/>
          <w:sz w:val="24"/>
          <w:szCs w:val="24"/>
          <w:shd w:val="clear" w:color="auto" w:fill="FFFFFF"/>
        </w:rPr>
        <w:t xml:space="preserve">六、“三公”经费：指使用一般公共预算财政拨款安排的因公出国(境)费、公务用车购置及运行维护费和公务接待费。其中，因公出国(境)费用反映单位公务出国(境)的国际旅费、国外城市间交通费、住宿费、伙食费、培训费、公杂费等支出；公务用车购置及运行维护费反映单位公务用车车辆购置支出(含车辆购置税)及租用费、燃料费、维修费、过桥过路费、保险费、安全奖励费用等支出；公务接待费反映单位按规定开支的各类公务接待(含外宾接待)费用。 </w:t>
      </w:r>
    </w:p>
    <w:p w14:paraId="3856F5EB">
      <w:pPr>
        <w:widowControl/>
        <w:shd w:val="clear" w:color="auto" w:fill="FFFFFF"/>
        <w:spacing w:line="360" w:lineRule="auto"/>
        <w:ind w:firstLine="480" w:firstLineChars="200"/>
        <w:jc w:val="left"/>
        <w:rPr>
          <w:rFonts w:hint="eastAsia" w:ascii="宋体" w:hAnsi="宋体" w:eastAsia="宋体"/>
          <w:color w:val="auto"/>
          <w:sz w:val="24"/>
          <w:szCs w:val="24"/>
          <w:shd w:val="clear" w:color="auto" w:fill="FFFFFF"/>
        </w:rPr>
      </w:pPr>
      <w:r>
        <w:rPr>
          <w:rFonts w:hint="eastAsia" w:ascii="宋体" w:hAnsi="宋体" w:eastAsia="宋体"/>
          <w:color w:val="auto"/>
          <w:sz w:val="24"/>
          <w:szCs w:val="24"/>
          <w:shd w:val="clear" w:color="auto" w:fill="FFFFFF"/>
        </w:rPr>
        <w:t>七、政府采购：是指各级国家机关、事业单位和团体组织，使用财政性资金采购依法制定的集中采购目录以内的或者采购限额标准以上的货物、工程和服务的行为。政府采购不仅是指具体的采购过程，而且是采购政策、采购程序、采购过程及采购管理的总称，是一种对公共采购管理的制度，是一种政府行为。</w:t>
      </w:r>
    </w:p>
    <w:p w14:paraId="43AA49D1">
      <w:pPr>
        <w:widowControl/>
        <w:shd w:val="clear" w:color="auto" w:fill="FFFFFF"/>
        <w:spacing w:line="360" w:lineRule="auto"/>
        <w:ind w:firstLine="480" w:firstLineChars="200"/>
        <w:jc w:val="left"/>
        <w:rPr>
          <w:rFonts w:hint="eastAsia" w:ascii="宋体" w:hAnsi="宋体" w:eastAsia="宋体"/>
          <w:color w:val="auto"/>
          <w:sz w:val="24"/>
          <w:szCs w:val="24"/>
          <w:shd w:val="clear" w:color="auto" w:fill="FFFFFF"/>
        </w:rPr>
      </w:pPr>
    </w:p>
    <w:p w14:paraId="67301B3D">
      <w:pPr>
        <w:widowControl/>
        <w:shd w:val="clear" w:color="auto" w:fill="FFFFFF"/>
        <w:spacing w:line="360" w:lineRule="auto"/>
        <w:ind w:firstLine="480" w:firstLineChars="200"/>
        <w:jc w:val="left"/>
        <w:rPr>
          <w:rFonts w:hint="eastAsia" w:ascii="宋体" w:hAnsi="宋体" w:eastAsia="宋体"/>
          <w:color w:val="auto"/>
          <w:sz w:val="24"/>
          <w:szCs w:val="24"/>
          <w:shd w:val="clear" w:color="auto" w:fill="FFFFFF"/>
        </w:rPr>
      </w:pPr>
    </w:p>
    <w:p w14:paraId="245694A8">
      <w:pPr>
        <w:widowControl/>
        <w:shd w:val="clear" w:color="auto" w:fill="FFFFFF"/>
        <w:spacing w:line="360" w:lineRule="auto"/>
        <w:ind w:firstLine="480" w:firstLineChars="200"/>
        <w:jc w:val="left"/>
        <w:rPr>
          <w:rFonts w:hint="eastAsia" w:ascii="宋体" w:hAnsi="宋体" w:eastAsia="宋体"/>
          <w:color w:val="auto"/>
          <w:sz w:val="24"/>
          <w:szCs w:val="24"/>
          <w:shd w:val="clear" w:color="auto" w:fill="FFFFFF"/>
        </w:rPr>
      </w:pPr>
    </w:p>
    <w:p w14:paraId="789D7337">
      <w:pPr>
        <w:tabs>
          <w:tab w:val="left" w:pos="3461"/>
        </w:tabs>
        <w:bidi w:val="0"/>
        <w:jc w:val="left"/>
        <w:rPr>
          <w:color w:val="auto"/>
          <w:lang w:val="en-US" w:eastAsia="zh-CN"/>
        </w:rPr>
      </w:pPr>
      <w:r>
        <w:rPr>
          <w:rFonts w:hint="eastAsia"/>
          <w:color w:val="auto"/>
          <w:lang w:val="en-US" w:eastAsia="zh-CN"/>
        </w:rPr>
        <w:tab/>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892C6B"/>
    <w:multiLevelType w:val="singleLevel"/>
    <w:tmpl w:val="C2892C6B"/>
    <w:lvl w:ilvl="0" w:tentative="0">
      <w:start w:val="1"/>
      <w:numFmt w:val="chineseCounting"/>
      <w:suff w:val="nothing"/>
      <w:lvlText w:val="第%1部分　"/>
      <w:lvlJc w:val="left"/>
      <w:rPr>
        <w:rFonts w:hint="eastAsia"/>
      </w:rPr>
    </w:lvl>
  </w:abstractNum>
  <w:abstractNum w:abstractNumId="1">
    <w:nsid w:val="4958D4E5"/>
    <w:multiLevelType w:val="singleLevel"/>
    <w:tmpl w:val="4958D4E5"/>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wYTUwN2UxMGU4OGVlZGU4NjQzNTFmYTJhZTNmNzQifQ=="/>
  </w:docVars>
  <w:rsids>
    <w:rsidRoot w:val="00000000"/>
    <w:rsid w:val="004C35C0"/>
    <w:rsid w:val="023471A6"/>
    <w:rsid w:val="063276C7"/>
    <w:rsid w:val="0A255281"/>
    <w:rsid w:val="0DD10F3D"/>
    <w:rsid w:val="11766E35"/>
    <w:rsid w:val="1DD30B68"/>
    <w:rsid w:val="28537F15"/>
    <w:rsid w:val="288F4310"/>
    <w:rsid w:val="2D892A5F"/>
    <w:rsid w:val="2DE27D71"/>
    <w:rsid w:val="2E765F68"/>
    <w:rsid w:val="31DD3403"/>
    <w:rsid w:val="35150DCA"/>
    <w:rsid w:val="3C68470B"/>
    <w:rsid w:val="3E774578"/>
    <w:rsid w:val="3FD90CED"/>
    <w:rsid w:val="445B0C05"/>
    <w:rsid w:val="48AF2AEE"/>
    <w:rsid w:val="4BE54332"/>
    <w:rsid w:val="4D680DDE"/>
    <w:rsid w:val="554A267C"/>
    <w:rsid w:val="57D61B7E"/>
    <w:rsid w:val="5B6836FC"/>
    <w:rsid w:val="67987D7F"/>
    <w:rsid w:val="6C365FAD"/>
    <w:rsid w:val="6E1D6891"/>
    <w:rsid w:val="71E46EA0"/>
    <w:rsid w:val="74C03C0F"/>
    <w:rsid w:val="77AC631A"/>
    <w:rsid w:val="7F9777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60" w:lineRule="exact"/>
      <w:jc w:val="both"/>
    </w:pPr>
    <w:rPr>
      <w:rFonts w:ascii="Times New Roman" w:hAnsi="Times New Roman" w:eastAsia="仿宋" w:cs="Times New Roman"/>
      <w:color w:val="000000"/>
      <w:sz w:val="32"/>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2155</Words>
  <Characters>2346</Characters>
  <Lines>0</Lines>
  <Paragraphs>0</Paragraphs>
  <TotalTime>9</TotalTime>
  <ScaleCrop>false</ScaleCrop>
  <LinksUpToDate>false</LinksUpToDate>
  <CharactersWithSpaces>2361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2024-02-26T01:06:00Z</dcterms:created>
  <dc:creator>Administrator</dc:creator>
  <cp:lastModifiedBy>盘盘四漂一黑</cp:lastModifiedBy>
  <cp:lastPrinted>2025-02-07T03:43:00Z</cp:lastPrinted>
  <dcterms:modified xsi:type="dcterms:W3CDTF">2026-01-28T01:10:34Z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844916AD98CD4122B2505406E85F2FA7_13</vt:lpwstr>
  </property>
  <property fmtid="{D5CDD505-2E9C-101B-9397-08002B2CF9AE}" pid="4" name="KSOTemplateDocerSaveRecord">
    <vt:lpwstr>eyJoZGlkIjoiZjc3MmRlNzFmZTIyYTE1NWJmOTU4ZWQ4MDA5NWNhZTQiLCJ1c2VySWQiOiIzNDk2NzM5OTEifQ==</vt:lpwstr>
  </property>
</Properties>
</file>