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14363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kern w:val="1"/>
          <w:sz w:val="44"/>
          <w:szCs w:val="44"/>
        </w:rPr>
        <w:t>天门市大数据管理中心202</w:t>
      </w:r>
      <w:r>
        <w:rPr>
          <w:rFonts w:hint="eastAsia" w:ascii="方正小标宋简体" w:hAnsi="方正小标宋简体" w:eastAsia="方正小标宋简体" w:cs="方正小标宋简体"/>
          <w:b w:val="0"/>
          <w:bCs/>
          <w:kern w:val="1"/>
          <w:sz w:val="44"/>
          <w:szCs w:val="44"/>
          <w:lang w:val="en-US" w:eastAsia="zh-CN"/>
        </w:rPr>
        <w:t>6</w:t>
      </w:r>
      <w:r>
        <w:rPr>
          <w:rFonts w:hint="eastAsia" w:ascii="方正小标宋简体" w:hAnsi="方正小标宋简体" w:eastAsia="方正小标宋简体" w:cs="方正小标宋简体"/>
          <w:b w:val="0"/>
          <w:bCs/>
          <w:kern w:val="1"/>
          <w:sz w:val="44"/>
          <w:szCs w:val="44"/>
        </w:rPr>
        <w:t>年部门预算公开</w:t>
      </w:r>
    </w:p>
    <w:p w14:paraId="0A0648B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rPr>
      </w:pPr>
    </w:p>
    <w:p w14:paraId="50F6D700">
      <w:pPr>
        <w:keepNext w:val="0"/>
        <w:keepLines w:val="0"/>
        <w:pageBreakBefore w:val="0"/>
        <w:widowControl/>
        <w:shd w:val="clear" w:color="auto" w:fill="FFFFFF"/>
        <w:kinsoku/>
        <w:wordWrap/>
        <w:overflowPunct/>
        <w:topLinePunct w:val="0"/>
        <w:autoSpaceDE/>
        <w:autoSpaceDN/>
        <w:bidi w:val="0"/>
        <w:adjustRightInd/>
        <w:snapToGrid/>
        <w:spacing w:line="500" w:lineRule="exact"/>
        <w:jc w:val="center"/>
        <w:textAlignment w:val="auto"/>
        <w:rPr>
          <w:rFonts w:hint="eastAsia" w:ascii="黑体" w:hAnsi="黑体" w:eastAsia="黑体" w:cs="黑体"/>
          <w:b/>
          <w:kern w:val="1"/>
          <w:sz w:val="32"/>
          <w:szCs w:val="32"/>
        </w:rPr>
      </w:pPr>
      <w:r>
        <w:rPr>
          <w:rFonts w:hint="eastAsia" w:ascii="黑体" w:hAnsi="黑体" w:eastAsia="黑体" w:cs="黑体"/>
          <w:b/>
          <w:kern w:val="1"/>
          <w:sz w:val="32"/>
          <w:szCs w:val="32"/>
        </w:rPr>
        <w:t>目　录</w:t>
      </w:r>
    </w:p>
    <w:p w14:paraId="0E0E2FD5">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b/>
          <w:kern w:val="1"/>
          <w:sz w:val="28"/>
          <w:szCs w:val="28"/>
        </w:rPr>
      </w:pPr>
      <w:r>
        <w:rPr>
          <w:rFonts w:hint="eastAsia" w:ascii="宋体" w:hAnsi="宋体" w:eastAsia="宋体" w:cs="宋体"/>
          <w:b/>
          <w:kern w:val="1"/>
          <w:sz w:val="28"/>
          <w:szCs w:val="28"/>
        </w:rPr>
        <w:t>第一部分　部门概况</w:t>
      </w:r>
    </w:p>
    <w:p w14:paraId="23F17C7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w:t>
      </w:r>
      <w:r>
        <w:rPr>
          <w:rFonts w:hint="eastAsia" w:ascii="宋体" w:hAnsi="宋体" w:eastAsia="宋体"/>
          <w:color w:val="000000" w:themeColor="text1"/>
          <w:sz w:val="28"/>
          <w:szCs w:val="28"/>
          <w:shd w:val="clear" w:color="auto" w:fill="FFFFFF"/>
          <w14:textFill>
            <w14:solidFill>
              <w14:schemeClr w14:val="tx1"/>
            </w14:solidFill>
          </w14:textFill>
        </w:rPr>
        <w:t>、</w:t>
      </w:r>
      <w:r>
        <w:rPr>
          <w:rFonts w:hint="eastAsia" w:ascii="宋体" w:hAnsi="宋体" w:eastAsia="宋体" w:cs="宋体"/>
          <w:color w:val="000000" w:themeColor="text1"/>
          <w:kern w:val="1"/>
          <w:sz w:val="28"/>
          <w:szCs w:val="28"/>
          <w14:textFill>
            <w14:solidFill>
              <w14:schemeClr w14:val="tx1"/>
            </w14:solidFill>
          </w14:textFill>
        </w:rPr>
        <w:t>主要职责及机构设置情况</w:t>
      </w:r>
    </w:p>
    <w:p w14:paraId="59443BDA">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二、部门预算单位构成</w:t>
      </w:r>
    </w:p>
    <w:p w14:paraId="4C9B51C2">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三、人员构成</w:t>
      </w:r>
    </w:p>
    <w:p w14:paraId="42127FE8">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b/>
          <w:kern w:val="1"/>
          <w:sz w:val="28"/>
          <w:szCs w:val="28"/>
        </w:rPr>
      </w:pPr>
      <w:r>
        <w:rPr>
          <w:rFonts w:hint="eastAsia" w:ascii="宋体" w:hAnsi="宋体" w:eastAsia="宋体" w:cs="宋体"/>
          <w:b/>
          <w:kern w:val="1"/>
          <w:sz w:val="28"/>
          <w:szCs w:val="28"/>
        </w:rPr>
        <w:t>第二部分　202</w:t>
      </w:r>
      <w:r>
        <w:rPr>
          <w:rFonts w:hint="eastAsia" w:ascii="宋体" w:hAnsi="宋体" w:eastAsia="宋体" w:cs="宋体"/>
          <w:b/>
          <w:kern w:val="1"/>
          <w:sz w:val="28"/>
          <w:szCs w:val="28"/>
          <w:lang w:val="en-US" w:eastAsia="zh-CN"/>
        </w:rPr>
        <w:t>6</w:t>
      </w:r>
      <w:r>
        <w:rPr>
          <w:rFonts w:hint="eastAsia" w:ascii="宋体" w:hAnsi="宋体" w:eastAsia="宋体" w:cs="宋体"/>
          <w:b/>
          <w:kern w:val="1"/>
          <w:sz w:val="28"/>
          <w:szCs w:val="28"/>
        </w:rPr>
        <w:t>年部门预算编制情况说明</w:t>
      </w:r>
    </w:p>
    <w:p w14:paraId="6C59DC2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一、预算收支安排及增减变化情况</w:t>
      </w:r>
    </w:p>
    <w:p w14:paraId="2CC0DA5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二、机关运行经费预算安排及增减变化情况</w:t>
      </w:r>
    </w:p>
    <w:p w14:paraId="11082E0F">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三、“三公”经费预算安排情况及增减变化情况</w:t>
      </w:r>
    </w:p>
    <w:p w14:paraId="742CFEE2">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四、政府采购预算安排情况</w:t>
      </w:r>
    </w:p>
    <w:p w14:paraId="020BE4B8">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五、国有资产占用情况</w:t>
      </w:r>
    </w:p>
    <w:p w14:paraId="3B301F3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六、重点项目预算的绩效目标等预算绩效情况说明</w:t>
      </w:r>
    </w:p>
    <w:p w14:paraId="766225B6">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b/>
          <w:kern w:val="1"/>
          <w:sz w:val="28"/>
          <w:szCs w:val="28"/>
        </w:rPr>
      </w:pPr>
      <w:r>
        <w:rPr>
          <w:rFonts w:hint="eastAsia" w:ascii="宋体" w:hAnsi="宋体" w:eastAsia="宋体" w:cs="宋体"/>
          <w:b/>
          <w:kern w:val="1"/>
          <w:sz w:val="28"/>
          <w:szCs w:val="28"/>
        </w:rPr>
        <w:t>第三部分　202</w:t>
      </w:r>
      <w:r>
        <w:rPr>
          <w:rFonts w:hint="eastAsia" w:ascii="宋体" w:hAnsi="宋体" w:eastAsia="宋体" w:cs="宋体"/>
          <w:b/>
          <w:kern w:val="1"/>
          <w:sz w:val="28"/>
          <w:szCs w:val="28"/>
          <w:lang w:val="en-US" w:eastAsia="zh-CN"/>
        </w:rPr>
        <w:t>6</w:t>
      </w:r>
      <w:r>
        <w:rPr>
          <w:rFonts w:hint="eastAsia" w:ascii="宋体" w:hAnsi="宋体" w:eastAsia="宋体" w:cs="宋体"/>
          <w:b/>
          <w:kern w:val="1"/>
          <w:sz w:val="28"/>
          <w:szCs w:val="28"/>
        </w:rPr>
        <w:t>年部门预算公开收支表</w:t>
      </w:r>
    </w:p>
    <w:p w14:paraId="0CE70201">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一、部门收支总表</w:t>
      </w:r>
    </w:p>
    <w:p w14:paraId="491B546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二、部门收入总表</w:t>
      </w:r>
    </w:p>
    <w:p w14:paraId="1A4F7C9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三、部门支出总表</w:t>
      </w:r>
    </w:p>
    <w:p w14:paraId="147E8FB4">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四、财政拨款收支总表</w:t>
      </w:r>
    </w:p>
    <w:p w14:paraId="71974A0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五、一般公共预算支出表</w:t>
      </w:r>
    </w:p>
    <w:p w14:paraId="5299954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六、一般公共预算基本支出表</w:t>
      </w:r>
    </w:p>
    <w:p w14:paraId="128E845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七、一般公共预算“三公”经费支出表</w:t>
      </w:r>
    </w:p>
    <w:p w14:paraId="308BFDCE">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八、政府性基金预算支出表</w:t>
      </w:r>
    </w:p>
    <w:p w14:paraId="06FC692E">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default" w:ascii="宋体" w:hAnsi="宋体" w:eastAsia="宋体" w:cs="宋体"/>
          <w:color w:val="000000" w:themeColor="text1"/>
          <w:kern w:val="1"/>
          <w:sz w:val="28"/>
          <w:szCs w:val="28"/>
          <w:lang w:val="en-US"/>
          <w14:textFill>
            <w14:solidFill>
              <w14:schemeClr w14:val="tx1"/>
            </w14:solidFill>
          </w14:textFill>
        </w:rPr>
      </w:pPr>
      <w:r>
        <w:rPr>
          <w:rFonts w:hint="eastAsia" w:ascii="宋体" w:hAnsi="宋体" w:eastAsia="宋体" w:cs="宋体"/>
          <w:color w:val="000000" w:themeColor="text1"/>
          <w:kern w:val="1"/>
          <w:sz w:val="28"/>
          <w:szCs w:val="28"/>
          <w:lang w:val="en-US" w:eastAsia="zh-CN"/>
          <w14:textFill>
            <w14:solidFill>
              <w14:schemeClr w14:val="tx1"/>
            </w14:solidFill>
          </w14:textFill>
        </w:rPr>
        <w:t>九、项目支出表</w:t>
      </w:r>
    </w:p>
    <w:p w14:paraId="753FFD3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lang w:val="en-US" w:eastAsia="zh-CN"/>
          <w14:textFill>
            <w14:solidFill>
              <w14:schemeClr w14:val="tx1"/>
            </w14:solidFill>
          </w14:textFill>
        </w:rPr>
      </w:pPr>
      <w:r>
        <w:rPr>
          <w:rFonts w:hint="eastAsia" w:ascii="宋体" w:hAnsi="宋体" w:eastAsia="宋体" w:cs="宋体"/>
          <w:color w:val="000000" w:themeColor="text1"/>
          <w:kern w:val="1"/>
          <w:sz w:val="28"/>
          <w:szCs w:val="28"/>
          <w:lang w:val="en-US" w:eastAsia="zh-CN"/>
          <w14:textFill>
            <w14:solidFill>
              <w14:schemeClr w14:val="tx1"/>
            </w14:solidFill>
          </w14:textFill>
        </w:rPr>
        <w:t>十、国有资本经营预算支出表</w:t>
      </w:r>
    </w:p>
    <w:p w14:paraId="6929AB6E">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b/>
          <w:kern w:val="1"/>
          <w:sz w:val="28"/>
          <w:szCs w:val="28"/>
        </w:rPr>
      </w:pPr>
      <w:r>
        <w:rPr>
          <w:rFonts w:hint="eastAsia" w:ascii="宋体" w:hAnsi="宋体" w:eastAsia="宋体" w:cs="宋体"/>
          <w:b/>
          <w:kern w:val="1"/>
          <w:sz w:val="28"/>
          <w:szCs w:val="28"/>
        </w:rPr>
        <w:t>第四部分　名词解释</w:t>
      </w:r>
    </w:p>
    <w:p w14:paraId="69D29A7B">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p>
    <w:p w14:paraId="0991108E">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r>
        <w:rPr>
          <w:rFonts w:hint="eastAsia" w:ascii="宋体" w:hAnsi="宋体" w:eastAsia="宋体"/>
          <w:b/>
          <w:color w:val="333333"/>
          <w:sz w:val="28"/>
          <w:szCs w:val="28"/>
          <w:shd w:val="clear" w:color="auto" w:fill="FFFFFF"/>
        </w:rPr>
        <w:t>第一部分　天门市大数据管理中心概况</w:t>
      </w:r>
    </w:p>
    <w:p w14:paraId="61A8FB32">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lang w:val="en-US" w:eastAsia="zh-CN"/>
        </w:rPr>
        <w:t>一、</w:t>
      </w:r>
      <w:r>
        <w:rPr>
          <w:rFonts w:hint="eastAsia" w:ascii="黑体" w:hAnsi="黑体" w:eastAsia="黑体" w:cs="黑体"/>
          <w:color w:val="333333"/>
          <w:sz w:val="28"/>
          <w:szCs w:val="28"/>
          <w:shd w:val="clear" w:color="auto" w:fill="FFFFFF"/>
        </w:rPr>
        <w:t>主要职责及机构设置情况</w:t>
      </w:r>
    </w:p>
    <w:p w14:paraId="43442704">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（一）主要职责</w:t>
      </w:r>
    </w:p>
    <w:p w14:paraId="30909637">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1</w:t>
      </w:r>
      <w:r>
        <w:rPr>
          <w:rFonts w:hint="eastAsia" w:ascii="宋体" w:hAnsi="宋体" w:eastAsia="宋体" w:cs="宋体"/>
          <w:color w:val="000000" w:themeColor="text1"/>
          <w:kern w:val="1"/>
          <w:sz w:val="28"/>
          <w:szCs w:val="28"/>
          <w:lang w:val="en-US" w:eastAsia="zh-CN"/>
          <w14:textFill>
            <w14:solidFill>
              <w14:schemeClr w14:val="tx1"/>
            </w14:solidFill>
          </w14:textFill>
        </w:rPr>
        <w:t>.</w:t>
      </w:r>
      <w:r>
        <w:rPr>
          <w:rFonts w:hint="eastAsia" w:ascii="宋体" w:hAnsi="宋体" w:eastAsia="宋体" w:cs="宋体"/>
          <w:color w:val="000000" w:themeColor="text1"/>
          <w:kern w:val="1"/>
          <w:sz w:val="28"/>
          <w:szCs w:val="28"/>
          <w14:textFill>
            <w14:solidFill>
              <w14:schemeClr w14:val="tx1"/>
            </w14:solidFill>
          </w14:textFill>
        </w:rPr>
        <w:t>研究拟订并组织实施大数据战略、规划和政策措施，引导和推动大数据研究和应用工作。</w:t>
      </w:r>
    </w:p>
    <w:p w14:paraId="51B2DE73">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2</w:t>
      </w:r>
      <w:r>
        <w:rPr>
          <w:rFonts w:hint="eastAsia" w:ascii="宋体" w:hAnsi="宋体" w:eastAsia="宋体" w:cs="宋体"/>
          <w:color w:val="000000" w:themeColor="text1"/>
          <w:kern w:val="1"/>
          <w:sz w:val="28"/>
          <w:szCs w:val="28"/>
          <w:lang w:val="en-US" w:eastAsia="zh-CN"/>
          <w14:textFill>
            <w14:solidFill>
              <w14:schemeClr w14:val="tx1"/>
            </w14:solidFill>
          </w14:textFill>
        </w:rPr>
        <w:t>.</w:t>
      </w:r>
      <w:r>
        <w:rPr>
          <w:rFonts w:hint="eastAsia" w:ascii="宋体" w:hAnsi="宋体" w:eastAsia="宋体" w:cs="宋体"/>
          <w:color w:val="000000" w:themeColor="text1"/>
          <w:kern w:val="1"/>
          <w:sz w:val="28"/>
          <w:szCs w:val="28"/>
          <w14:textFill>
            <w14:solidFill>
              <w14:schemeClr w14:val="tx1"/>
            </w14:solidFill>
          </w14:textFill>
        </w:rPr>
        <w:t>组织拟订大数据的标准体系和考核体系；拟定大数据收集、管理、开放、应用等标准规范。</w:t>
      </w:r>
    </w:p>
    <w:p w14:paraId="7FA663F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3</w:t>
      </w:r>
      <w:r>
        <w:rPr>
          <w:rFonts w:hint="eastAsia" w:ascii="宋体" w:hAnsi="宋体" w:eastAsia="宋体" w:cs="宋体"/>
          <w:color w:val="000000" w:themeColor="text1"/>
          <w:kern w:val="1"/>
          <w:sz w:val="28"/>
          <w:szCs w:val="28"/>
          <w:lang w:val="en-US" w:eastAsia="zh-CN"/>
          <w14:textFill>
            <w14:solidFill>
              <w14:schemeClr w14:val="tx1"/>
            </w14:solidFill>
          </w14:textFill>
        </w:rPr>
        <w:t>.</w:t>
      </w:r>
      <w:r>
        <w:rPr>
          <w:rFonts w:hint="eastAsia" w:ascii="宋体" w:hAnsi="宋体" w:eastAsia="宋体" w:cs="宋体"/>
          <w:color w:val="000000" w:themeColor="text1"/>
          <w:kern w:val="1"/>
          <w:sz w:val="28"/>
          <w:szCs w:val="28"/>
          <w14:textFill>
            <w14:solidFill>
              <w14:schemeClr w14:val="tx1"/>
            </w14:solidFill>
          </w14:textFill>
        </w:rPr>
        <w:t>负责以大数据为引领的信息产业行业管理，统筹推进社会经济各领域大数据开发应用。</w:t>
      </w:r>
    </w:p>
    <w:p w14:paraId="2A21D138">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4</w:t>
      </w:r>
      <w:r>
        <w:rPr>
          <w:rFonts w:hint="eastAsia" w:ascii="宋体" w:hAnsi="宋体" w:eastAsia="宋体" w:cs="宋体"/>
          <w:color w:val="000000" w:themeColor="text1"/>
          <w:kern w:val="1"/>
          <w:sz w:val="28"/>
          <w:szCs w:val="28"/>
          <w:lang w:val="en-US" w:eastAsia="zh-CN"/>
          <w14:textFill>
            <w14:solidFill>
              <w14:schemeClr w14:val="tx1"/>
            </w14:solidFill>
          </w14:textFill>
        </w:rPr>
        <w:t>.</w:t>
      </w:r>
      <w:r>
        <w:rPr>
          <w:rFonts w:hint="eastAsia" w:ascii="宋体" w:hAnsi="宋体" w:eastAsia="宋体" w:cs="宋体"/>
          <w:color w:val="000000" w:themeColor="text1"/>
          <w:kern w:val="1"/>
          <w:sz w:val="28"/>
          <w:szCs w:val="28"/>
          <w14:textFill>
            <w14:solidFill>
              <w14:schemeClr w14:val="tx1"/>
            </w14:solidFill>
          </w14:textFill>
        </w:rPr>
        <w:t>组织编制电子政务建设规划互联网+行动计划并组织实施；组织协调市级重大电子政务项目建设和互联网+应用工程。</w:t>
      </w:r>
    </w:p>
    <w:p w14:paraId="0969F257">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5</w:t>
      </w:r>
      <w:r>
        <w:rPr>
          <w:rFonts w:hint="eastAsia" w:ascii="宋体" w:hAnsi="宋体" w:eastAsia="宋体" w:cs="宋体"/>
          <w:color w:val="000000" w:themeColor="text1"/>
          <w:kern w:val="1"/>
          <w:sz w:val="28"/>
          <w:szCs w:val="28"/>
          <w:lang w:val="en-US" w:eastAsia="zh-CN"/>
          <w14:textFill>
            <w14:solidFill>
              <w14:schemeClr w14:val="tx1"/>
            </w14:solidFill>
          </w14:textFill>
        </w:rPr>
        <w:t>.</w:t>
      </w:r>
      <w:r>
        <w:rPr>
          <w:rFonts w:hint="eastAsia" w:ascii="宋体" w:hAnsi="宋体" w:eastAsia="宋体" w:cs="宋体"/>
          <w:color w:val="000000" w:themeColor="text1"/>
          <w:kern w:val="1"/>
          <w:sz w:val="28"/>
          <w:szCs w:val="28"/>
          <w14:textFill>
            <w14:solidFill>
              <w14:schemeClr w14:val="tx1"/>
            </w14:solidFill>
          </w14:textFill>
        </w:rPr>
        <w:t>负责信息基础设施规划、协调、管理和监督。负责统筹政务信息网络系统、政务数据中心的建设、管理，促进政府数据资源的共享与开放。</w:t>
      </w:r>
    </w:p>
    <w:p w14:paraId="287E6E44">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6</w:t>
      </w:r>
      <w:r>
        <w:rPr>
          <w:rFonts w:hint="eastAsia" w:ascii="宋体" w:hAnsi="宋体" w:eastAsia="宋体" w:cs="宋体"/>
          <w:color w:val="000000" w:themeColor="text1"/>
          <w:kern w:val="1"/>
          <w:sz w:val="28"/>
          <w:szCs w:val="28"/>
          <w:lang w:val="en-US" w:eastAsia="zh-CN"/>
          <w14:textFill>
            <w14:solidFill>
              <w14:schemeClr w14:val="tx1"/>
            </w14:solidFill>
          </w14:textFill>
        </w:rPr>
        <w:t>.</w:t>
      </w:r>
      <w:r>
        <w:rPr>
          <w:rFonts w:hint="eastAsia" w:ascii="宋体" w:hAnsi="宋体" w:eastAsia="宋体" w:cs="宋体"/>
          <w:color w:val="000000" w:themeColor="text1"/>
          <w:kern w:val="1"/>
          <w:sz w:val="28"/>
          <w:szCs w:val="28"/>
          <w14:textFill>
            <w14:solidFill>
              <w14:schemeClr w14:val="tx1"/>
            </w14:solidFill>
          </w14:textFill>
        </w:rPr>
        <w:t>统筹协调信息安全保障体系建设；承担信息安全等级保护、应急协调和数字认证相关工作。</w:t>
      </w:r>
    </w:p>
    <w:p w14:paraId="1D7124A2">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7</w:t>
      </w:r>
      <w:r>
        <w:rPr>
          <w:rFonts w:hint="eastAsia" w:ascii="宋体" w:hAnsi="宋体" w:eastAsia="宋体" w:cs="宋体"/>
          <w:color w:val="000000" w:themeColor="text1"/>
          <w:kern w:val="1"/>
          <w:sz w:val="28"/>
          <w:szCs w:val="28"/>
          <w:lang w:val="en-US" w:eastAsia="zh-CN"/>
          <w14:textFill>
            <w14:solidFill>
              <w14:schemeClr w14:val="tx1"/>
            </w14:solidFill>
          </w14:textFill>
        </w:rPr>
        <w:t>.</w:t>
      </w:r>
      <w:r>
        <w:rPr>
          <w:rFonts w:hint="eastAsia" w:ascii="宋体" w:hAnsi="宋体" w:eastAsia="宋体" w:cs="宋体"/>
          <w:color w:val="000000" w:themeColor="text1"/>
          <w:kern w:val="1"/>
          <w:sz w:val="28"/>
          <w:szCs w:val="28"/>
          <w14:textFill>
            <w14:solidFill>
              <w14:schemeClr w14:val="tx1"/>
            </w14:solidFill>
          </w14:textFill>
        </w:rPr>
        <w:t>承办市委、市人民政府交办的其他事项。</w:t>
      </w:r>
    </w:p>
    <w:p w14:paraId="143F24DA">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（二）机构设置情况</w:t>
      </w:r>
    </w:p>
    <w:p w14:paraId="3C26682A">
      <w:pPr>
        <w:widowControl/>
        <w:shd w:val="clear" w:color="auto" w:fill="FFFFFF"/>
        <w:spacing w:line="360" w:lineRule="auto"/>
        <w:ind w:firstLine="560" w:firstLineChars="200"/>
        <w:jc w:val="both"/>
        <w:rPr>
          <w:rFonts w:hint="eastAsia" w:ascii="宋体" w:hAnsi="宋体" w:eastAsia="宋体" w:cs="宋体"/>
          <w:kern w:val="1"/>
          <w:sz w:val="28"/>
          <w:szCs w:val="28"/>
        </w:rPr>
      </w:pPr>
      <w:r>
        <w:rPr>
          <w:rFonts w:hint="eastAsia" w:ascii="宋体" w:hAnsi="宋体" w:eastAsia="宋体" w:cs="宋体"/>
          <w:kern w:val="1"/>
          <w:sz w:val="28"/>
          <w:szCs w:val="28"/>
        </w:rPr>
        <w:t>天门市大数据管理</w:t>
      </w:r>
      <w:r>
        <w:rPr>
          <w:rFonts w:hint="eastAsia" w:ascii="宋体" w:hAnsi="宋体" w:eastAsia="宋体" w:cs="宋体"/>
          <w:kern w:val="1"/>
          <w:sz w:val="28"/>
          <w:szCs w:val="28"/>
          <w:lang w:eastAsia="zh-CN"/>
        </w:rPr>
        <w:t>中心</w:t>
      </w:r>
      <w:r>
        <w:rPr>
          <w:rFonts w:hint="eastAsia" w:ascii="宋体" w:hAnsi="宋体" w:eastAsia="宋体" w:cs="宋体"/>
          <w:kern w:val="1"/>
          <w:sz w:val="28"/>
          <w:szCs w:val="28"/>
        </w:rPr>
        <w:t>内设科室3个，包括：综合规划科、应用推进科、数据管理科。</w:t>
      </w:r>
    </w:p>
    <w:p w14:paraId="67F4E443">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二、部门预算单位构成</w:t>
      </w:r>
    </w:p>
    <w:p w14:paraId="5C7347F3">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纳入天门市大数据管理中心202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年部门预算编制范围的预算单位</w:t>
      </w:r>
      <w:r>
        <w:rPr>
          <w:rFonts w:hint="eastAsia" w:ascii="宋体" w:hAnsi="宋体" w:eastAsia="宋体" w:cs="宋体"/>
          <w:color w:val="000000" w:themeColor="text1"/>
          <w:kern w:val="1"/>
          <w:sz w:val="28"/>
          <w:szCs w:val="28"/>
          <w:lang w:val="en-US" w:eastAsia="zh-CN"/>
          <w14:textFill>
            <w14:solidFill>
              <w14:schemeClr w14:val="tx1"/>
            </w14:solidFill>
          </w14:textFill>
        </w:rPr>
        <w:t>为</w:t>
      </w:r>
      <w:r>
        <w:rPr>
          <w:rFonts w:hint="eastAsia" w:ascii="宋体" w:hAnsi="宋体" w:eastAsia="宋体" w:cs="宋体"/>
          <w:kern w:val="1"/>
          <w:sz w:val="28"/>
          <w:szCs w:val="28"/>
          <w:lang w:eastAsia="zh-CN"/>
        </w:rPr>
        <w:t>天门市大数据管理中心</w:t>
      </w:r>
      <w:r>
        <w:rPr>
          <w:rFonts w:hint="eastAsia" w:ascii="宋体" w:hAnsi="宋体" w:eastAsia="宋体" w:cs="宋体"/>
          <w:color w:val="000000" w:themeColor="text1"/>
          <w:kern w:val="1"/>
          <w:sz w:val="28"/>
          <w:szCs w:val="28"/>
          <w14:textFill>
            <w14:solidFill>
              <w14:schemeClr w14:val="tx1"/>
            </w14:solidFill>
          </w14:textFill>
        </w:rPr>
        <w:t>。</w:t>
      </w:r>
    </w:p>
    <w:p w14:paraId="4ECB9996">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三、人员构成</w:t>
      </w:r>
    </w:p>
    <w:p w14:paraId="2DF520D3">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天门市大数据管理中心编制人数</w:t>
      </w:r>
      <w:r>
        <w:rPr>
          <w:rFonts w:hint="eastAsia" w:ascii="宋体" w:hAnsi="宋体" w:eastAsia="宋体" w:cs="宋体"/>
          <w:color w:val="000000" w:themeColor="text1"/>
          <w:kern w:val="1"/>
          <w:sz w:val="28"/>
          <w:szCs w:val="28"/>
          <w:lang w:val="en-US" w:eastAsia="zh-CN"/>
          <w14:textFill>
            <w14:solidFill>
              <w14:schemeClr w14:val="tx1"/>
            </w14:solidFill>
          </w14:textFill>
        </w:rPr>
        <w:t>17</w:t>
      </w:r>
      <w:r>
        <w:rPr>
          <w:rFonts w:hint="eastAsia" w:ascii="宋体" w:hAnsi="宋体" w:eastAsia="宋体" w:cs="宋体"/>
          <w:color w:val="000000" w:themeColor="text1"/>
          <w:kern w:val="1"/>
          <w:sz w:val="28"/>
          <w:szCs w:val="28"/>
          <w14:textFill>
            <w14:solidFill>
              <w14:schemeClr w14:val="tx1"/>
            </w14:solidFill>
          </w14:textFill>
        </w:rPr>
        <w:t>人，其中：行政编制</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人，参公编制</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人，事业编制</w:t>
      </w:r>
      <w:r>
        <w:rPr>
          <w:rFonts w:hint="eastAsia" w:ascii="宋体" w:hAnsi="宋体" w:eastAsia="宋体" w:cs="宋体"/>
          <w:color w:val="000000" w:themeColor="text1"/>
          <w:kern w:val="1"/>
          <w:sz w:val="28"/>
          <w:szCs w:val="28"/>
          <w:lang w:val="en-US" w:eastAsia="zh-CN"/>
          <w14:textFill>
            <w14:solidFill>
              <w14:schemeClr w14:val="tx1"/>
            </w14:solidFill>
          </w14:textFill>
        </w:rPr>
        <w:t>17</w:t>
      </w:r>
      <w:r>
        <w:rPr>
          <w:rFonts w:hint="eastAsia" w:ascii="宋体" w:hAnsi="宋体" w:eastAsia="宋体" w:cs="宋体"/>
          <w:color w:val="000000" w:themeColor="text1"/>
          <w:kern w:val="1"/>
          <w:sz w:val="28"/>
          <w:szCs w:val="28"/>
          <w14:textFill>
            <w14:solidFill>
              <w14:schemeClr w14:val="tx1"/>
            </w14:solidFill>
          </w14:textFill>
        </w:rPr>
        <w:t>人，工勤编制</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人。在职实有人数</w:t>
      </w:r>
      <w:r>
        <w:rPr>
          <w:rFonts w:hint="eastAsia" w:ascii="宋体" w:hAnsi="宋体" w:eastAsia="宋体" w:cs="宋体"/>
          <w:color w:val="000000" w:themeColor="text1"/>
          <w:kern w:val="1"/>
          <w:sz w:val="28"/>
          <w:szCs w:val="28"/>
          <w:lang w:val="en-US" w:eastAsia="zh-CN"/>
          <w14:textFill>
            <w14:solidFill>
              <w14:schemeClr w14:val="tx1"/>
            </w14:solidFill>
          </w14:textFill>
        </w:rPr>
        <w:t>13</w:t>
      </w:r>
      <w:r>
        <w:rPr>
          <w:rFonts w:hint="eastAsia" w:ascii="宋体" w:hAnsi="宋体" w:eastAsia="宋体" w:cs="宋体"/>
          <w:color w:val="000000" w:themeColor="text1"/>
          <w:kern w:val="1"/>
          <w:sz w:val="28"/>
          <w:szCs w:val="28"/>
          <w14:textFill>
            <w14:solidFill>
              <w14:schemeClr w14:val="tx1"/>
            </w14:solidFill>
          </w14:textFill>
        </w:rPr>
        <w:t>人，其中：行政人员</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人，参公人员</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人，事业人员</w:t>
      </w:r>
      <w:r>
        <w:rPr>
          <w:rFonts w:hint="eastAsia" w:ascii="宋体" w:hAnsi="宋体" w:eastAsia="宋体" w:cs="宋体"/>
          <w:color w:val="000000" w:themeColor="text1"/>
          <w:kern w:val="1"/>
          <w:sz w:val="28"/>
          <w:szCs w:val="28"/>
          <w:lang w:val="en-US" w:eastAsia="zh-CN"/>
          <w14:textFill>
            <w14:solidFill>
              <w14:schemeClr w14:val="tx1"/>
            </w14:solidFill>
          </w14:textFill>
        </w:rPr>
        <w:t>13</w:t>
      </w:r>
      <w:r>
        <w:rPr>
          <w:rFonts w:hint="eastAsia" w:ascii="宋体" w:hAnsi="宋体" w:eastAsia="宋体" w:cs="宋体"/>
          <w:color w:val="000000" w:themeColor="text1"/>
          <w:kern w:val="1"/>
          <w:sz w:val="28"/>
          <w:szCs w:val="28"/>
          <w14:textFill>
            <w14:solidFill>
              <w14:schemeClr w14:val="tx1"/>
            </w14:solidFill>
          </w14:textFill>
        </w:rPr>
        <w:t>人，工勤人员</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人。</w:t>
      </w:r>
    </w:p>
    <w:p w14:paraId="0A1E14A1">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离退休人员</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人，其中：离休</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人，退休</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人。</w:t>
      </w:r>
    </w:p>
    <w:p w14:paraId="7D4106D4">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r>
        <w:rPr>
          <w:rFonts w:hint="eastAsia" w:ascii="宋体" w:hAnsi="宋体" w:eastAsia="宋体"/>
          <w:b/>
          <w:color w:val="333333"/>
          <w:sz w:val="28"/>
          <w:szCs w:val="28"/>
          <w:shd w:val="clear" w:color="auto" w:fill="FFFFFF"/>
        </w:rPr>
        <w:t>第二部分　天门市大数据管理中心预算编制情况说明</w:t>
      </w:r>
    </w:p>
    <w:p w14:paraId="0FF1D045">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一、预算收支安排及增减变化情况</w:t>
      </w:r>
    </w:p>
    <w:p w14:paraId="1E38661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1．预算收入情况：202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年预算收入总额</w:t>
      </w:r>
      <w:r>
        <w:rPr>
          <w:rFonts w:hint="eastAsia" w:ascii="宋体" w:hAnsi="宋体" w:eastAsia="宋体" w:cs="宋体"/>
          <w:color w:val="000000" w:themeColor="text1"/>
          <w:kern w:val="1"/>
          <w:sz w:val="28"/>
          <w:szCs w:val="28"/>
          <w:lang w:val="en-US" w:eastAsia="zh-CN"/>
          <w14:textFill>
            <w14:solidFill>
              <w14:schemeClr w14:val="tx1"/>
            </w14:solidFill>
          </w14:textFill>
        </w:rPr>
        <w:t>239.85</w:t>
      </w:r>
      <w:r>
        <w:rPr>
          <w:rFonts w:hint="eastAsia" w:ascii="宋体" w:hAnsi="宋体" w:eastAsia="宋体" w:cs="宋体"/>
          <w:color w:val="000000" w:themeColor="text1"/>
          <w:kern w:val="1"/>
          <w:sz w:val="28"/>
          <w:szCs w:val="28"/>
          <w14:textFill>
            <w14:solidFill>
              <w14:schemeClr w14:val="tx1"/>
            </w14:solidFill>
          </w14:textFill>
        </w:rPr>
        <w:t>万元，比上年预算减少</w:t>
      </w:r>
      <w:r>
        <w:rPr>
          <w:rFonts w:hint="eastAsia" w:ascii="宋体" w:hAnsi="宋体" w:eastAsia="宋体" w:cs="宋体"/>
          <w:color w:val="000000" w:themeColor="text1"/>
          <w:kern w:val="1"/>
          <w:sz w:val="28"/>
          <w:szCs w:val="28"/>
          <w:lang w:val="en-US" w:eastAsia="zh-CN"/>
          <w14:textFill>
            <w14:solidFill>
              <w14:schemeClr w14:val="tx1"/>
            </w14:solidFill>
          </w14:textFill>
        </w:rPr>
        <w:t>6.68</w:t>
      </w:r>
      <w:r>
        <w:rPr>
          <w:rFonts w:hint="eastAsia" w:ascii="宋体" w:hAnsi="宋体" w:eastAsia="宋体" w:cs="宋体"/>
          <w:color w:val="000000" w:themeColor="text1"/>
          <w:kern w:val="1"/>
          <w:sz w:val="28"/>
          <w:szCs w:val="28"/>
          <w14:textFill>
            <w14:solidFill>
              <w14:schemeClr w14:val="tx1"/>
            </w14:solidFill>
          </w14:textFill>
        </w:rPr>
        <w:t>万元，下降</w:t>
      </w:r>
      <w:r>
        <w:rPr>
          <w:rFonts w:hint="eastAsia" w:ascii="宋体" w:hAnsi="宋体" w:eastAsia="宋体" w:cs="宋体"/>
          <w:color w:val="000000" w:themeColor="text1"/>
          <w:kern w:val="1"/>
          <w:sz w:val="28"/>
          <w:szCs w:val="28"/>
          <w:lang w:val="en-US" w:eastAsia="zh-CN"/>
          <w14:textFill>
            <w14:solidFill>
              <w14:schemeClr w14:val="tx1"/>
            </w14:solidFill>
          </w14:textFill>
        </w:rPr>
        <w:t>2.71</w:t>
      </w:r>
      <w:r>
        <w:rPr>
          <w:rFonts w:hint="eastAsia" w:ascii="宋体" w:hAnsi="宋体" w:eastAsia="宋体" w:cs="宋体"/>
          <w:color w:val="000000" w:themeColor="text1"/>
          <w:kern w:val="1"/>
          <w:sz w:val="28"/>
          <w:szCs w:val="28"/>
          <w14:textFill>
            <w14:solidFill>
              <w14:schemeClr w14:val="tx1"/>
            </w14:solidFill>
          </w14:textFill>
        </w:rPr>
        <w:t>%。其中：一般公共预算财政拨款</w:t>
      </w:r>
      <w:r>
        <w:rPr>
          <w:rFonts w:hint="eastAsia" w:ascii="宋体" w:hAnsi="宋体" w:eastAsia="宋体" w:cs="宋体"/>
          <w:color w:val="000000" w:themeColor="text1"/>
          <w:kern w:val="1"/>
          <w:sz w:val="28"/>
          <w:szCs w:val="28"/>
          <w:lang w:val="en-US" w:eastAsia="zh-CN"/>
          <w14:textFill>
            <w14:solidFill>
              <w14:schemeClr w14:val="tx1"/>
            </w14:solidFill>
          </w14:textFill>
        </w:rPr>
        <w:t>239.85</w:t>
      </w:r>
      <w:r>
        <w:rPr>
          <w:rFonts w:hint="eastAsia" w:ascii="宋体" w:hAnsi="宋体" w:eastAsia="宋体" w:cs="宋体"/>
          <w:color w:val="000000" w:themeColor="text1"/>
          <w:kern w:val="1"/>
          <w:sz w:val="28"/>
          <w:szCs w:val="28"/>
          <w14:textFill>
            <w14:solidFill>
              <w14:schemeClr w14:val="tx1"/>
            </w14:solidFill>
          </w14:textFill>
        </w:rPr>
        <w:t>万元，政府性基金预算财政拨款收入</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 xml:space="preserve">万元，国有资本经营预算财政拨款收入  </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万元，财政专户管理资金收入</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万元，单位资金收入</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万元，上年结余结转</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万元。收入减少主要原因是</w:t>
      </w:r>
      <w:r>
        <w:rPr>
          <w:rFonts w:hint="eastAsia" w:ascii="宋体" w:hAnsi="宋体" w:eastAsia="宋体" w:cs="宋体"/>
          <w:color w:val="000000" w:themeColor="text1"/>
          <w:kern w:val="1"/>
          <w:sz w:val="28"/>
          <w:szCs w:val="28"/>
          <w:lang w:val="en-US" w:eastAsia="zh-CN"/>
          <w14:textFill>
            <w14:solidFill>
              <w14:schemeClr w14:val="tx1"/>
            </w14:solidFill>
          </w14:textFill>
        </w:rPr>
        <w:t>中心人员变动，相应经费有所减少</w:t>
      </w:r>
      <w:r>
        <w:rPr>
          <w:rFonts w:hint="eastAsia" w:ascii="宋体" w:hAnsi="宋体" w:eastAsia="宋体" w:cs="宋体"/>
          <w:color w:val="000000" w:themeColor="text1"/>
          <w:kern w:val="1"/>
          <w:sz w:val="28"/>
          <w:szCs w:val="28"/>
          <w14:textFill>
            <w14:solidFill>
              <w14:schemeClr w14:val="tx1"/>
            </w14:solidFill>
          </w14:textFill>
        </w:rPr>
        <w:t>。</w:t>
      </w:r>
    </w:p>
    <w:p w14:paraId="7E69DCC6">
      <w:pPr>
        <w:keepNext w:val="0"/>
        <w:keepLines w:val="0"/>
        <w:pageBreakBefore w:val="0"/>
        <w:widowControl w:val="0"/>
        <w:shd w:val="clear" w:color="auto" w:fill="FFFFFF"/>
        <w:kinsoku/>
        <w:wordWrap/>
        <w:overflowPunct w:val="0"/>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2．预算支出情况：202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年预算支出总额</w:t>
      </w:r>
      <w:r>
        <w:rPr>
          <w:rFonts w:hint="eastAsia" w:ascii="宋体" w:hAnsi="宋体" w:eastAsia="宋体" w:cs="宋体"/>
          <w:color w:val="000000" w:themeColor="text1"/>
          <w:kern w:val="1"/>
          <w:sz w:val="28"/>
          <w:szCs w:val="28"/>
          <w:lang w:val="en-US" w:eastAsia="zh-CN"/>
          <w14:textFill>
            <w14:solidFill>
              <w14:schemeClr w14:val="tx1"/>
            </w14:solidFill>
          </w14:textFill>
        </w:rPr>
        <w:t>239.85</w:t>
      </w:r>
      <w:r>
        <w:rPr>
          <w:rFonts w:hint="eastAsia" w:ascii="宋体" w:hAnsi="宋体" w:eastAsia="宋体" w:cs="宋体"/>
          <w:color w:val="000000" w:themeColor="text1"/>
          <w:kern w:val="1"/>
          <w:sz w:val="28"/>
          <w:szCs w:val="28"/>
          <w14:textFill>
            <w14:solidFill>
              <w14:schemeClr w14:val="tx1"/>
            </w14:solidFill>
          </w14:textFill>
        </w:rPr>
        <w:t>万元，比上年预算减少</w:t>
      </w:r>
      <w:r>
        <w:rPr>
          <w:rFonts w:hint="eastAsia" w:ascii="宋体" w:hAnsi="宋体" w:eastAsia="宋体" w:cs="宋体"/>
          <w:color w:val="000000" w:themeColor="text1"/>
          <w:kern w:val="1"/>
          <w:sz w:val="28"/>
          <w:szCs w:val="28"/>
          <w:lang w:val="en-US" w:eastAsia="zh-CN"/>
          <w14:textFill>
            <w14:solidFill>
              <w14:schemeClr w14:val="tx1"/>
            </w14:solidFill>
          </w14:textFill>
        </w:rPr>
        <w:t>6.68</w:t>
      </w:r>
      <w:r>
        <w:rPr>
          <w:rFonts w:hint="eastAsia" w:ascii="宋体" w:hAnsi="宋体" w:eastAsia="宋体" w:cs="宋体"/>
          <w:color w:val="000000" w:themeColor="text1"/>
          <w:kern w:val="1"/>
          <w:sz w:val="28"/>
          <w:szCs w:val="28"/>
          <w14:textFill>
            <w14:solidFill>
              <w14:schemeClr w14:val="tx1"/>
            </w14:solidFill>
          </w14:textFill>
        </w:rPr>
        <w:t xml:space="preserve"> 万元，下降</w:t>
      </w:r>
      <w:r>
        <w:rPr>
          <w:rFonts w:hint="eastAsia" w:ascii="宋体" w:hAnsi="宋体" w:eastAsia="宋体" w:cs="宋体"/>
          <w:color w:val="000000" w:themeColor="text1"/>
          <w:kern w:val="1"/>
          <w:sz w:val="28"/>
          <w:szCs w:val="28"/>
          <w:lang w:val="en-US" w:eastAsia="zh-CN"/>
          <w14:textFill>
            <w14:solidFill>
              <w14:schemeClr w14:val="tx1"/>
            </w14:solidFill>
          </w14:textFill>
        </w:rPr>
        <w:t>2.71</w:t>
      </w:r>
      <w:r>
        <w:rPr>
          <w:rFonts w:hint="eastAsia" w:ascii="宋体" w:hAnsi="宋体" w:eastAsia="宋体" w:cs="宋体"/>
          <w:color w:val="000000" w:themeColor="text1"/>
          <w:kern w:val="1"/>
          <w:sz w:val="28"/>
          <w:szCs w:val="28"/>
          <w14:textFill>
            <w14:solidFill>
              <w14:schemeClr w14:val="tx1"/>
            </w14:solidFill>
          </w14:textFill>
        </w:rPr>
        <w:t>%。其中：人员类项目支出</w:t>
      </w:r>
      <w:r>
        <w:rPr>
          <w:rFonts w:hint="eastAsia" w:ascii="宋体" w:hAnsi="宋体" w:eastAsia="宋体" w:cs="宋体"/>
          <w:color w:val="000000" w:themeColor="text1"/>
          <w:kern w:val="1"/>
          <w:sz w:val="28"/>
          <w:szCs w:val="28"/>
          <w:lang w:val="en-US" w:eastAsia="zh-CN"/>
          <w14:textFill>
            <w14:solidFill>
              <w14:schemeClr w14:val="tx1"/>
            </w14:solidFill>
          </w14:textFill>
        </w:rPr>
        <w:t>154.03</w:t>
      </w:r>
      <w:r>
        <w:rPr>
          <w:rFonts w:hint="eastAsia" w:ascii="宋体" w:hAnsi="宋体" w:eastAsia="宋体" w:cs="宋体"/>
          <w:color w:val="000000" w:themeColor="text1"/>
          <w:kern w:val="1"/>
          <w:sz w:val="28"/>
          <w:szCs w:val="28"/>
          <w14:textFill>
            <w14:solidFill>
              <w14:schemeClr w14:val="tx1"/>
            </w14:solidFill>
          </w14:textFill>
        </w:rPr>
        <w:t>万元，公用经费项目支出</w:t>
      </w:r>
      <w:r>
        <w:rPr>
          <w:rFonts w:hint="eastAsia" w:ascii="宋体" w:hAnsi="宋体" w:eastAsia="宋体" w:cs="宋体"/>
          <w:color w:val="000000" w:themeColor="text1"/>
          <w:kern w:val="1"/>
          <w:sz w:val="28"/>
          <w:szCs w:val="28"/>
          <w:lang w:val="en-US" w:eastAsia="zh-CN"/>
          <w14:textFill>
            <w14:solidFill>
              <w14:schemeClr w14:val="tx1"/>
            </w14:solidFill>
          </w14:textFill>
        </w:rPr>
        <w:t>15.82</w:t>
      </w:r>
      <w:r>
        <w:rPr>
          <w:rFonts w:hint="eastAsia" w:ascii="宋体" w:hAnsi="宋体" w:eastAsia="宋体" w:cs="宋体"/>
          <w:color w:val="000000" w:themeColor="text1"/>
          <w:kern w:val="1"/>
          <w:sz w:val="28"/>
          <w:szCs w:val="28"/>
          <w14:textFill>
            <w14:solidFill>
              <w14:schemeClr w14:val="tx1"/>
            </w14:solidFill>
          </w14:textFill>
        </w:rPr>
        <w:t>万元，其他运转类项目支出</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万元，特定目标类项目支出</w:t>
      </w:r>
      <w:r>
        <w:rPr>
          <w:rFonts w:hint="eastAsia" w:ascii="宋体" w:hAnsi="宋体" w:eastAsia="宋体" w:cs="宋体"/>
          <w:color w:val="000000" w:themeColor="text1"/>
          <w:kern w:val="1"/>
          <w:sz w:val="28"/>
          <w:szCs w:val="28"/>
          <w:lang w:val="en-US" w:eastAsia="zh-CN"/>
          <w14:textFill>
            <w14:solidFill>
              <w14:schemeClr w14:val="tx1"/>
            </w14:solidFill>
          </w14:textFill>
        </w:rPr>
        <w:t>70</w:t>
      </w:r>
      <w:r>
        <w:rPr>
          <w:rFonts w:hint="eastAsia" w:ascii="宋体" w:hAnsi="宋体" w:eastAsia="宋体" w:cs="宋体"/>
          <w:color w:val="000000" w:themeColor="text1"/>
          <w:kern w:val="1"/>
          <w:sz w:val="28"/>
          <w:szCs w:val="28"/>
          <w14:textFill>
            <w14:solidFill>
              <w14:schemeClr w14:val="tx1"/>
            </w14:solidFill>
          </w14:textFill>
        </w:rPr>
        <w:t>万元。本年支出构成为：一般公共服务支出</w:t>
      </w:r>
      <w:r>
        <w:rPr>
          <w:rFonts w:hint="eastAsia" w:ascii="宋体" w:hAnsi="宋体" w:eastAsia="宋体" w:cs="宋体"/>
          <w:color w:val="000000" w:themeColor="text1"/>
          <w:kern w:val="1"/>
          <w:sz w:val="28"/>
          <w:szCs w:val="28"/>
          <w:lang w:val="en-US" w:eastAsia="zh-CN"/>
          <w14:textFill>
            <w14:solidFill>
              <w14:schemeClr w14:val="tx1"/>
            </w14:solidFill>
          </w14:textFill>
        </w:rPr>
        <w:t>202.31</w:t>
      </w:r>
      <w:r>
        <w:rPr>
          <w:rFonts w:hint="eastAsia" w:ascii="宋体" w:hAnsi="宋体" w:eastAsia="宋体" w:cs="宋体"/>
          <w:color w:val="000000" w:themeColor="text1"/>
          <w:kern w:val="1"/>
          <w:sz w:val="28"/>
          <w:szCs w:val="28"/>
          <w14:textFill>
            <w14:solidFill>
              <w14:schemeClr w14:val="tx1"/>
            </w14:solidFill>
          </w14:textFill>
        </w:rPr>
        <w:t>万元，占本年支出</w:t>
      </w:r>
      <w:r>
        <w:rPr>
          <w:rFonts w:hint="eastAsia" w:ascii="宋体" w:hAnsi="宋体" w:eastAsia="宋体" w:cs="宋体"/>
          <w:color w:val="000000" w:themeColor="text1"/>
          <w:kern w:val="1"/>
          <w:sz w:val="28"/>
          <w:szCs w:val="28"/>
          <w:lang w:val="en-US" w:eastAsia="zh-CN"/>
          <w14:textFill>
            <w14:solidFill>
              <w14:schemeClr w14:val="tx1"/>
            </w14:solidFill>
          </w14:textFill>
        </w:rPr>
        <w:t>84.35</w:t>
      </w:r>
      <w:r>
        <w:rPr>
          <w:rFonts w:hint="eastAsia" w:ascii="宋体" w:hAnsi="宋体" w:eastAsia="宋体" w:cs="宋体"/>
          <w:color w:val="000000" w:themeColor="text1"/>
          <w:kern w:val="1"/>
          <w:sz w:val="28"/>
          <w:szCs w:val="28"/>
          <w14:textFill>
            <w14:solidFill>
              <w14:schemeClr w14:val="tx1"/>
            </w14:solidFill>
          </w14:textFill>
        </w:rPr>
        <w:t>％；社会保障和就业支出</w:t>
      </w:r>
      <w:r>
        <w:rPr>
          <w:rFonts w:hint="eastAsia" w:ascii="宋体" w:hAnsi="宋体" w:eastAsia="宋体" w:cs="宋体"/>
          <w:color w:val="000000" w:themeColor="text1"/>
          <w:kern w:val="1"/>
          <w:sz w:val="28"/>
          <w:szCs w:val="28"/>
          <w:lang w:val="en-US" w:eastAsia="zh-CN"/>
          <w14:textFill>
            <w14:solidFill>
              <w14:schemeClr w14:val="tx1"/>
            </w14:solidFill>
          </w14:textFill>
        </w:rPr>
        <w:t>16.96</w:t>
      </w:r>
      <w:r>
        <w:rPr>
          <w:rFonts w:hint="eastAsia" w:ascii="宋体" w:hAnsi="宋体" w:eastAsia="宋体" w:cs="宋体"/>
          <w:color w:val="000000" w:themeColor="text1"/>
          <w:kern w:val="1"/>
          <w:sz w:val="28"/>
          <w:szCs w:val="28"/>
          <w14:textFill>
            <w14:solidFill>
              <w14:schemeClr w14:val="tx1"/>
            </w14:solidFill>
          </w14:textFill>
        </w:rPr>
        <w:t>万元，占本年支出</w:t>
      </w:r>
      <w:r>
        <w:rPr>
          <w:rFonts w:hint="eastAsia" w:ascii="宋体" w:hAnsi="宋体" w:eastAsia="宋体" w:cs="宋体"/>
          <w:color w:val="000000" w:themeColor="text1"/>
          <w:kern w:val="1"/>
          <w:sz w:val="28"/>
          <w:szCs w:val="28"/>
          <w:lang w:val="en-US" w:eastAsia="zh-CN"/>
          <w14:textFill>
            <w14:solidFill>
              <w14:schemeClr w14:val="tx1"/>
            </w14:solidFill>
          </w14:textFill>
        </w:rPr>
        <w:t>7.07</w:t>
      </w:r>
      <w:r>
        <w:rPr>
          <w:rFonts w:hint="eastAsia" w:ascii="宋体" w:hAnsi="宋体" w:eastAsia="宋体" w:cs="宋体"/>
          <w:color w:val="000000" w:themeColor="text1"/>
          <w:kern w:val="1"/>
          <w:sz w:val="28"/>
          <w:szCs w:val="28"/>
          <w14:textFill>
            <w14:solidFill>
              <w14:schemeClr w14:val="tx1"/>
            </w14:solidFill>
          </w14:textFill>
        </w:rPr>
        <w:t>％；医疗卫生支出</w:t>
      </w:r>
      <w:r>
        <w:rPr>
          <w:rFonts w:hint="eastAsia" w:ascii="宋体" w:hAnsi="宋体" w:eastAsia="宋体" w:cs="宋体"/>
          <w:color w:val="000000" w:themeColor="text1"/>
          <w:kern w:val="1"/>
          <w:sz w:val="28"/>
          <w:szCs w:val="28"/>
          <w:lang w:val="en-US" w:eastAsia="zh-CN"/>
          <w14:textFill>
            <w14:solidFill>
              <w14:schemeClr w14:val="tx1"/>
            </w14:solidFill>
          </w14:textFill>
        </w:rPr>
        <w:t>7.15</w:t>
      </w:r>
      <w:r>
        <w:rPr>
          <w:rFonts w:hint="eastAsia" w:ascii="宋体" w:hAnsi="宋体" w:eastAsia="宋体" w:cs="宋体"/>
          <w:color w:val="000000" w:themeColor="text1"/>
          <w:kern w:val="1"/>
          <w:sz w:val="28"/>
          <w:szCs w:val="28"/>
          <w14:textFill>
            <w14:solidFill>
              <w14:schemeClr w14:val="tx1"/>
            </w14:solidFill>
          </w14:textFill>
        </w:rPr>
        <w:t>万元，占本年</w:t>
      </w:r>
      <w:r>
        <w:rPr>
          <w:rFonts w:hint="eastAsia" w:ascii="宋体" w:hAnsi="宋体" w:eastAsia="宋体" w:cs="宋体"/>
          <w:color w:val="000000" w:themeColor="text1"/>
          <w:kern w:val="1"/>
          <w:sz w:val="28"/>
          <w:szCs w:val="28"/>
          <w:lang w:val="en-US" w:eastAsia="zh-CN"/>
          <w14:textFill>
            <w14:solidFill>
              <w14:schemeClr w14:val="tx1"/>
            </w14:solidFill>
          </w14:textFill>
        </w:rPr>
        <w:t>支</w:t>
      </w:r>
      <w:r>
        <w:rPr>
          <w:rFonts w:hint="eastAsia" w:ascii="宋体" w:hAnsi="宋体" w:eastAsia="宋体" w:cs="宋体"/>
          <w:color w:val="000000" w:themeColor="text1"/>
          <w:kern w:val="1"/>
          <w:sz w:val="28"/>
          <w:szCs w:val="28"/>
          <w14:textFill>
            <w14:solidFill>
              <w14:schemeClr w14:val="tx1"/>
            </w14:solidFill>
          </w14:textFill>
        </w:rPr>
        <w:t>出</w:t>
      </w:r>
      <w:r>
        <w:rPr>
          <w:rFonts w:hint="eastAsia" w:ascii="宋体" w:hAnsi="宋体" w:eastAsia="宋体" w:cs="宋体"/>
          <w:color w:val="000000" w:themeColor="text1"/>
          <w:kern w:val="1"/>
          <w:sz w:val="28"/>
          <w:szCs w:val="28"/>
          <w:lang w:val="en-US" w:eastAsia="zh-CN"/>
          <w14:textFill>
            <w14:solidFill>
              <w14:schemeClr w14:val="tx1"/>
            </w14:solidFill>
          </w14:textFill>
        </w:rPr>
        <w:t>2.98</w:t>
      </w:r>
      <w:r>
        <w:rPr>
          <w:rFonts w:hint="eastAsia" w:ascii="宋体" w:hAnsi="宋体" w:eastAsia="宋体" w:cs="宋体"/>
          <w:color w:val="000000" w:themeColor="text1"/>
          <w:kern w:val="1"/>
          <w:sz w:val="28"/>
          <w:szCs w:val="28"/>
          <w14:textFill>
            <w14:solidFill>
              <w14:schemeClr w14:val="tx1"/>
            </w14:solidFill>
          </w14:textFill>
        </w:rPr>
        <w:t>％；住房保障支出 13.</w:t>
      </w:r>
      <w:r>
        <w:rPr>
          <w:rFonts w:hint="eastAsia" w:ascii="宋体" w:hAnsi="宋体" w:eastAsia="宋体" w:cs="宋体"/>
          <w:color w:val="000000" w:themeColor="text1"/>
          <w:kern w:val="1"/>
          <w:sz w:val="28"/>
          <w:szCs w:val="28"/>
          <w:lang w:val="en-US" w:eastAsia="zh-CN"/>
          <w14:textFill>
            <w14:solidFill>
              <w14:schemeClr w14:val="tx1"/>
            </w14:solidFill>
          </w14:textFill>
        </w:rPr>
        <w:t>43</w:t>
      </w:r>
      <w:r>
        <w:rPr>
          <w:rFonts w:hint="eastAsia" w:ascii="宋体" w:hAnsi="宋体" w:eastAsia="宋体" w:cs="宋体"/>
          <w:color w:val="000000" w:themeColor="text1"/>
          <w:kern w:val="1"/>
          <w:sz w:val="28"/>
          <w:szCs w:val="28"/>
          <w14:textFill>
            <w14:solidFill>
              <w14:schemeClr w14:val="tx1"/>
            </w14:solidFill>
          </w14:textFill>
        </w:rPr>
        <w:t>万元，占本年支出</w:t>
      </w:r>
      <w:r>
        <w:rPr>
          <w:rFonts w:hint="eastAsia" w:ascii="宋体" w:hAnsi="宋体" w:eastAsia="宋体" w:cs="宋体"/>
          <w:color w:val="000000" w:themeColor="text1"/>
          <w:kern w:val="1"/>
          <w:sz w:val="28"/>
          <w:szCs w:val="28"/>
          <w:lang w:val="en-US" w:eastAsia="zh-CN"/>
          <w14:textFill>
            <w14:solidFill>
              <w14:schemeClr w14:val="tx1"/>
            </w14:solidFill>
          </w14:textFill>
        </w:rPr>
        <w:t>5.6</w:t>
      </w:r>
      <w:r>
        <w:rPr>
          <w:rFonts w:hint="eastAsia" w:ascii="宋体" w:hAnsi="宋体" w:eastAsia="宋体" w:cs="宋体"/>
          <w:color w:val="000000" w:themeColor="text1"/>
          <w:kern w:val="1"/>
          <w:sz w:val="28"/>
          <w:szCs w:val="28"/>
          <w14:textFill>
            <w14:solidFill>
              <w14:schemeClr w14:val="tx1"/>
            </w14:solidFill>
          </w14:textFill>
        </w:rPr>
        <w:t>％。支出减少主要原因是中心人员变动，相应经费有所减少。</w:t>
      </w:r>
    </w:p>
    <w:p w14:paraId="42D12C04">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二、机关运行经费预算安排及增减变化情况</w:t>
      </w:r>
    </w:p>
    <w:p w14:paraId="57DC5FC3">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年机关运行经费预算总额</w:t>
      </w:r>
      <w:r>
        <w:rPr>
          <w:rFonts w:hint="eastAsia" w:ascii="宋体" w:hAnsi="宋体" w:eastAsia="宋体" w:cs="宋体"/>
          <w:color w:val="000000" w:themeColor="text1"/>
          <w:kern w:val="1"/>
          <w:sz w:val="28"/>
          <w:szCs w:val="28"/>
          <w:lang w:val="en-US" w:eastAsia="zh-CN"/>
          <w14:textFill>
            <w14:solidFill>
              <w14:schemeClr w14:val="tx1"/>
            </w14:solidFill>
          </w14:textFill>
        </w:rPr>
        <w:t>15.82</w:t>
      </w:r>
      <w:r>
        <w:rPr>
          <w:rFonts w:hint="eastAsia" w:ascii="宋体" w:hAnsi="宋体" w:eastAsia="宋体" w:cs="宋体"/>
          <w:color w:val="000000" w:themeColor="text1"/>
          <w:kern w:val="1"/>
          <w:sz w:val="28"/>
          <w:szCs w:val="28"/>
          <w14:textFill>
            <w14:solidFill>
              <w14:schemeClr w14:val="tx1"/>
            </w14:solidFill>
          </w14:textFill>
        </w:rPr>
        <w:t>万元，比上年预算减少</w:t>
      </w:r>
      <w:r>
        <w:rPr>
          <w:rFonts w:hint="eastAsia" w:ascii="宋体" w:hAnsi="宋体" w:eastAsia="宋体" w:cs="宋体"/>
          <w:color w:val="000000" w:themeColor="text1"/>
          <w:kern w:val="1"/>
          <w:sz w:val="28"/>
          <w:szCs w:val="28"/>
          <w:lang w:val="en-US" w:eastAsia="zh-CN"/>
          <w14:textFill>
            <w14:solidFill>
              <w14:schemeClr w14:val="tx1"/>
            </w14:solidFill>
          </w14:textFill>
        </w:rPr>
        <w:t>1.13</w:t>
      </w:r>
      <w:r>
        <w:rPr>
          <w:rFonts w:hint="eastAsia" w:ascii="宋体" w:hAnsi="宋体" w:eastAsia="宋体" w:cs="宋体"/>
          <w:color w:val="000000" w:themeColor="text1"/>
          <w:kern w:val="1"/>
          <w:sz w:val="28"/>
          <w:szCs w:val="28"/>
          <w14:textFill>
            <w14:solidFill>
              <w14:schemeClr w14:val="tx1"/>
            </w14:solidFill>
          </w14:textFill>
        </w:rPr>
        <w:t>万元，下降</w:t>
      </w:r>
      <w:r>
        <w:rPr>
          <w:rFonts w:hint="eastAsia" w:ascii="宋体" w:hAnsi="宋体" w:eastAsia="宋体" w:cs="宋体"/>
          <w:color w:val="000000" w:themeColor="text1"/>
          <w:kern w:val="1"/>
          <w:sz w:val="28"/>
          <w:szCs w:val="28"/>
          <w:lang w:val="en-US" w:eastAsia="zh-CN"/>
          <w14:textFill>
            <w14:solidFill>
              <w14:schemeClr w14:val="tx1"/>
            </w14:solidFill>
          </w14:textFill>
        </w:rPr>
        <w:t>6.67</w:t>
      </w:r>
      <w:r>
        <w:rPr>
          <w:rFonts w:hint="eastAsia" w:ascii="宋体" w:hAnsi="宋体" w:eastAsia="宋体" w:cs="宋体"/>
          <w:color w:val="000000" w:themeColor="text1"/>
          <w:kern w:val="1"/>
          <w:sz w:val="28"/>
          <w:szCs w:val="28"/>
          <w14:textFill>
            <w14:solidFill>
              <w14:schemeClr w14:val="tx1"/>
            </w14:solidFill>
          </w14:textFill>
        </w:rPr>
        <w:t>%。其中：办公费3.</w:t>
      </w:r>
      <w:r>
        <w:rPr>
          <w:rFonts w:hint="eastAsia" w:ascii="宋体" w:hAnsi="宋体" w:eastAsia="宋体" w:cs="宋体"/>
          <w:color w:val="000000" w:themeColor="text1"/>
          <w:kern w:val="1"/>
          <w:sz w:val="28"/>
          <w:szCs w:val="28"/>
          <w:lang w:val="en-US" w:eastAsia="zh-CN"/>
          <w14:textFill>
            <w14:solidFill>
              <w14:schemeClr w14:val="tx1"/>
            </w14:solidFill>
          </w14:textFill>
        </w:rPr>
        <w:t>25</w:t>
      </w:r>
      <w:r>
        <w:rPr>
          <w:rFonts w:hint="eastAsia" w:ascii="宋体" w:hAnsi="宋体" w:eastAsia="宋体" w:cs="宋体"/>
          <w:color w:val="000000" w:themeColor="text1"/>
          <w:kern w:val="1"/>
          <w:sz w:val="28"/>
          <w:szCs w:val="28"/>
          <w14:textFill>
            <w14:solidFill>
              <w14:schemeClr w14:val="tx1"/>
            </w14:solidFill>
          </w14:textFill>
        </w:rPr>
        <w:t>万元、印刷费0.</w:t>
      </w:r>
      <w:r>
        <w:rPr>
          <w:rFonts w:hint="eastAsia" w:ascii="宋体" w:hAnsi="宋体" w:eastAsia="宋体" w:cs="宋体"/>
          <w:color w:val="000000" w:themeColor="text1"/>
          <w:kern w:val="1"/>
          <w:sz w:val="28"/>
          <w:szCs w:val="28"/>
          <w:lang w:val="en-US" w:eastAsia="zh-CN"/>
          <w14:textFill>
            <w14:solidFill>
              <w14:schemeClr w14:val="tx1"/>
            </w14:solidFill>
          </w14:textFill>
        </w:rPr>
        <w:t>65</w:t>
      </w:r>
      <w:r>
        <w:rPr>
          <w:rFonts w:hint="eastAsia" w:ascii="宋体" w:hAnsi="宋体" w:eastAsia="宋体" w:cs="宋体"/>
          <w:color w:val="000000" w:themeColor="text1"/>
          <w:kern w:val="1"/>
          <w:sz w:val="28"/>
          <w:szCs w:val="28"/>
          <w14:textFill>
            <w14:solidFill>
              <w14:schemeClr w14:val="tx1"/>
            </w14:solidFill>
          </w14:textFill>
        </w:rPr>
        <w:t>万元、水费0.</w:t>
      </w:r>
      <w:r>
        <w:rPr>
          <w:rFonts w:hint="eastAsia" w:ascii="宋体" w:hAnsi="宋体" w:eastAsia="宋体" w:cs="宋体"/>
          <w:color w:val="000000" w:themeColor="text1"/>
          <w:kern w:val="1"/>
          <w:sz w:val="28"/>
          <w:szCs w:val="28"/>
          <w:lang w:val="en-US" w:eastAsia="zh-CN"/>
          <w14:textFill>
            <w14:solidFill>
              <w14:schemeClr w14:val="tx1"/>
            </w14:solidFill>
          </w14:textFill>
        </w:rPr>
        <w:t>26</w:t>
      </w:r>
      <w:r>
        <w:rPr>
          <w:rFonts w:hint="eastAsia" w:ascii="宋体" w:hAnsi="宋体" w:eastAsia="宋体" w:cs="宋体"/>
          <w:color w:val="000000" w:themeColor="text1"/>
          <w:kern w:val="1"/>
          <w:sz w:val="28"/>
          <w:szCs w:val="28"/>
          <w14:textFill>
            <w14:solidFill>
              <w14:schemeClr w14:val="tx1"/>
            </w14:solidFill>
          </w14:textFill>
        </w:rPr>
        <w:t>万元、电费</w:t>
      </w:r>
      <w:r>
        <w:rPr>
          <w:rFonts w:hint="eastAsia" w:ascii="宋体" w:hAnsi="宋体" w:eastAsia="宋体" w:cs="宋体"/>
          <w:color w:val="000000" w:themeColor="text1"/>
          <w:kern w:val="1"/>
          <w:sz w:val="28"/>
          <w:szCs w:val="28"/>
          <w:lang w:val="en-US" w:eastAsia="zh-CN"/>
          <w14:textFill>
            <w14:solidFill>
              <w14:schemeClr w14:val="tx1"/>
            </w14:solidFill>
          </w14:textFill>
        </w:rPr>
        <w:t>1.04</w:t>
      </w:r>
      <w:r>
        <w:rPr>
          <w:rFonts w:hint="eastAsia" w:ascii="宋体" w:hAnsi="宋体" w:eastAsia="宋体" w:cs="宋体"/>
          <w:color w:val="000000" w:themeColor="text1"/>
          <w:kern w:val="1"/>
          <w:sz w:val="28"/>
          <w:szCs w:val="28"/>
          <w14:textFill>
            <w14:solidFill>
              <w14:schemeClr w14:val="tx1"/>
            </w14:solidFill>
          </w14:textFill>
        </w:rPr>
        <w:t>万元、邮电费</w:t>
      </w:r>
      <w:r>
        <w:rPr>
          <w:rFonts w:hint="eastAsia" w:ascii="宋体" w:hAnsi="宋体" w:eastAsia="宋体" w:cs="宋体"/>
          <w:color w:val="000000" w:themeColor="text1"/>
          <w:kern w:val="1"/>
          <w:sz w:val="28"/>
          <w:szCs w:val="28"/>
          <w:lang w:val="en-US" w:eastAsia="zh-CN"/>
          <w14:textFill>
            <w14:solidFill>
              <w14:schemeClr w14:val="tx1"/>
            </w14:solidFill>
          </w14:textFill>
        </w:rPr>
        <w:t>1.3</w:t>
      </w:r>
      <w:r>
        <w:rPr>
          <w:rFonts w:hint="eastAsia" w:ascii="宋体" w:hAnsi="宋体" w:eastAsia="宋体" w:cs="宋体"/>
          <w:color w:val="000000" w:themeColor="text1"/>
          <w:kern w:val="1"/>
          <w:sz w:val="28"/>
          <w:szCs w:val="28"/>
          <w14:textFill>
            <w14:solidFill>
              <w14:schemeClr w14:val="tx1"/>
            </w14:solidFill>
          </w14:textFill>
        </w:rPr>
        <w:t>万元、物业管理费0.</w:t>
      </w:r>
      <w:r>
        <w:rPr>
          <w:rFonts w:hint="eastAsia" w:ascii="宋体" w:hAnsi="宋体" w:eastAsia="宋体" w:cs="宋体"/>
          <w:color w:val="000000" w:themeColor="text1"/>
          <w:kern w:val="1"/>
          <w:sz w:val="28"/>
          <w:szCs w:val="28"/>
          <w:lang w:val="en-US" w:eastAsia="zh-CN"/>
          <w14:textFill>
            <w14:solidFill>
              <w14:schemeClr w14:val="tx1"/>
            </w14:solidFill>
          </w14:textFill>
        </w:rPr>
        <w:t>39</w:t>
      </w:r>
      <w:r>
        <w:rPr>
          <w:rFonts w:hint="eastAsia" w:ascii="宋体" w:hAnsi="宋体" w:eastAsia="宋体" w:cs="宋体"/>
          <w:color w:val="000000" w:themeColor="text1"/>
          <w:kern w:val="1"/>
          <w:sz w:val="28"/>
          <w:szCs w:val="28"/>
          <w14:textFill>
            <w14:solidFill>
              <w14:schemeClr w14:val="tx1"/>
            </w14:solidFill>
          </w14:textFill>
        </w:rPr>
        <w:t>万元、差旅费</w:t>
      </w:r>
      <w:r>
        <w:rPr>
          <w:rFonts w:hint="eastAsia" w:ascii="宋体" w:hAnsi="宋体" w:eastAsia="宋体" w:cs="宋体"/>
          <w:color w:val="000000" w:themeColor="text1"/>
          <w:kern w:val="1"/>
          <w:sz w:val="28"/>
          <w:szCs w:val="28"/>
          <w:lang w:val="en-US" w:eastAsia="zh-CN"/>
          <w14:textFill>
            <w14:solidFill>
              <w14:schemeClr w14:val="tx1"/>
            </w14:solidFill>
          </w14:textFill>
        </w:rPr>
        <w:t>2.6</w:t>
      </w:r>
      <w:r>
        <w:rPr>
          <w:rFonts w:hint="eastAsia" w:ascii="宋体" w:hAnsi="宋体" w:eastAsia="宋体" w:cs="宋体"/>
          <w:color w:val="000000" w:themeColor="text1"/>
          <w:kern w:val="1"/>
          <w:sz w:val="28"/>
          <w:szCs w:val="28"/>
          <w14:textFill>
            <w14:solidFill>
              <w14:schemeClr w14:val="tx1"/>
            </w14:solidFill>
          </w14:textFill>
        </w:rPr>
        <w:t>万元、维修维护费0.</w:t>
      </w:r>
      <w:r>
        <w:rPr>
          <w:rFonts w:hint="eastAsia" w:ascii="宋体" w:hAnsi="宋体" w:eastAsia="宋体" w:cs="宋体"/>
          <w:color w:val="000000" w:themeColor="text1"/>
          <w:kern w:val="1"/>
          <w:sz w:val="28"/>
          <w:szCs w:val="28"/>
          <w:lang w:val="en-US" w:eastAsia="zh-CN"/>
          <w14:textFill>
            <w14:solidFill>
              <w14:schemeClr w14:val="tx1"/>
            </w14:solidFill>
          </w14:textFill>
        </w:rPr>
        <w:t>39</w:t>
      </w:r>
      <w:r>
        <w:rPr>
          <w:rFonts w:hint="eastAsia" w:ascii="宋体" w:hAnsi="宋体" w:eastAsia="宋体" w:cs="宋体"/>
          <w:color w:val="000000" w:themeColor="text1"/>
          <w:kern w:val="1"/>
          <w:sz w:val="28"/>
          <w:szCs w:val="28"/>
          <w14:textFill>
            <w14:solidFill>
              <w14:schemeClr w14:val="tx1"/>
            </w14:solidFill>
          </w14:textFill>
        </w:rPr>
        <w:t>万元、会议费0.</w:t>
      </w:r>
      <w:r>
        <w:rPr>
          <w:rFonts w:hint="eastAsia" w:ascii="宋体" w:hAnsi="宋体" w:eastAsia="宋体" w:cs="宋体"/>
          <w:color w:val="000000" w:themeColor="text1"/>
          <w:kern w:val="1"/>
          <w:sz w:val="28"/>
          <w:szCs w:val="28"/>
          <w:lang w:val="en-US" w:eastAsia="zh-CN"/>
          <w14:textFill>
            <w14:solidFill>
              <w14:schemeClr w14:val="tx1"/>
            </w14:solidFill>
          </w14:textFill>
        </w:rPr>
        <w:t>65</w:t>
      </w:r>
      <w:r>
        <w:rPr>
          <w:rFonts w:hint="eastAsia" w:ascii="宋体" w:hAnsi="宋体" w:eastAsia="宋体" w:cs="宋体"/>
          <w:color w:val="000000" w:themeColor="text1"/>
          <w:kern w:val="1"/>
          <w:sz w:val="28"/>
          <w:szCs w:val="28"/>
          <w14:textFill>
            <w14:solidFill>
              <w14:schemeClr w14:val="tx1"/>
            </w14:solidFill>
          </w14:textFill>
        </w:rPr>
        <w:t>万元、培训费</w:t>
      </w:r>
      <w:r>
        <w:rPr>
          <w:rFonts w:hint="eastAsia" w:ascii="宋体" w:hAnsi="宋体" w:eastAsia="宋体" w:cs="宋体"/>
          <w:color w:val="000000" w:themeColor="text1"/>
          <w:kern w:val="1"/>
          <w:sz w:val="28"/>
          <w:szCs w:val="28"/>
          <w:lang w:val="en-US" w:eastAsia="zh-CN"/>
          <w14:textFill>
            <w14:solidFill>
              <w14:schemeClr w14:val="tx1"/>
            </w14:solidFill>
          </w14:textFill>
        </w:rPr>
        <w:t>0.26</w:t>
      </w:r>
      <w:r>
        <w:rPr>
          <w:rFonts w:hint="eastAsia" w:ascii="宋体" w:hAnsi="宋体" w:eastAsia="宋体" w:cs="宋体"/>
          <w:color w:val="000000" w:themeColor="text1"/>
          <w:kern w:val="1"/>
          <w:sz w:val="28"/>
          <w:szCs w:val="28"/>
          <w14:textFill>
            <w14:solidFill>
              <w14:schemeClr w14:val="tx1"/>
            </w14:solidFill>
          </w14:textFill>
        </w:rPr>
        <w:t>万元、公务接待费0.</w:t>
      </w:r>
      <w:r>
        <w:rPr>
          <w:rFonts w:hint="eastAsia" w:ascii="宋体" w:hAnsi="宋体" w:eastAsia="宋体" w:cs="宋体"/>
          <w:color w:val="000000" w:themeColor="text1"/>
          <w:kern w:val="1"/>
          <w:sz w:val="28"/>
          <w:szCs w:val="28"/>
          <w:lang w:val="en-US" w:eastAsia="zh-CN"/>
          <w14:textFill>
            <w14:solidFill>
              <w14:schemeClr w14:val="tx1"/>
            </w14:solidFill>
          </w14:textFill>
        </w:rPr>
        <w:t>26</w:t>
      </w:r>
      <w:r>
        <w:rPr>
          <w:rFonts w:hint="eastAsia" w:ascii="宋体" w:hAnsi="宋体" w:eastAsia="宋体" w:cs="宋体"/>
          <w:color w:val="000000" w:themeColor="text1"/>
          <w:kern w:val="1"/>
          <w:sz w:val="28"/>
          <w:szCs w:val="28"/>
          <w14:textFill>
            <w14:solidFill>
              <w14:schemeClr w14:val="tx1"/>
            </w14:solidFill>
          </w14:textFill>
        </w:rPr>
        <w:t xml:space="preserve"> 万元、工会经费0.</w:t>
      </w:r>
      <w:r>
        <w:rPr>
          <w:rFonts w:hint="eastAsia" w:ascii="宋体" w:hAnsi="宋体" w:eastAsia="宋体" w:cs="宋体"/>
          <w:color w:val="000000" w:themeColor="text1"/>
          <w:kern w:val="1"/>
          <w:sz w:val="28"/>
          <w:szCs w:val="28"/>
          <w:lang w:val="en-US" w:eastAsia="zh-CN"/>
          <w14:textFill>
            <w14:solidFill>
              <w14:schemeClr w14:val="tx1"/>
            </w14:solidFill>
          </w14:textFill>
        </w:rPr>
        <w:t>87</w:t>
      </w:r>
      <w:r>
        <w:rPr>
          <w:rFonts w:hint="eastAsia" w:ascii="宋体" w:hAnsi="宋体" w:eastAsia="宋体" w:cs="宋体"/>
          <w:color w:val="000000" w:themeColor="text1"/>
          <w:kern w:val="1"/>
          <w:sz w:val="28"/>
          <w:szCs w:val="28"/>
          <w14:textFill>
            <w14:solidFill>
              <w14:schemeClr w14:val="tx1"/>
            </w14:solidFill>
          </w14:textFill>
        </w:rPr>
        <w:t>万元、其他商品和服务支出</w:t>
      </w:r>
      <w:r>
        <w:rPr>
          <w:rFonts w:hint="eastAsia" w:ascii="宋体" w:hAnsi="宋体" w:eastAsia="宋体" w:cs="宋体"/>
          <w:color w:val="000000" w:themeColor="text1"/>
          <w:kern w:val="1"/>
          <w:sz w:val="28"/>
          <w:szCs w:val="28"/>
          <w:lang w:val="en-US" w:eastAsia="zh-CN"/>
          <w14:textFill>
            <w14:solidFill>
              <w14:schemeClr w14:val="tx1"/>
            </w14:solidFill>
          </w14:textFill>
        </w:rPr>
        <w:t>3.9</w:t>
      </w:r>
      <w:r>
        <w:rPr>
          <w:rFonts w:hint="eastAsia" w:ascii="宋体" w:hAnsi="宋体" w:eastAsia="宋体" w:cs="宋体"/>
          <w:color w:val="000000" w:themeColor="text1"/>
          <w:kern w:val="1"/>
          <w:sz w:val="28"/>
          <w:szCs w:val="28"/>
          <w14:textFill>
            <w14:solidFill>
              <w14:schemeClr w14:val="tx1"/>
            </w14:solidFill>
          </w14:textFill>
        </w:rPr>
        <w:t>万元。</w:t>
      </w:r>
      <w:r>
        <w:rPr>
          <w:rFonts w:hint="eastAsia" w:ascii="宋体" w:hAnsi="宋体" w:eastAsia="宋体" w:cs="宋体"/>
          <w:color w:val="000000" w:themeColor="text1"/>
          <w:kern w:val="1"/>
          <w:sz w:val="28"/>
          <w:szCs w:val="28"/>
          <w:lang w:val="en-US" w:eastAsia="zh-CN"/>
          <w14:textFill>
            <w14:solidFill>
              <w14:schemeClr w14:val="tx1"/>
            </w14:solidFill>
          </w14:textFill>
        </w:rPr>
        <w:t>下降</w:t>
      </w:r>
      <w:r>
        <w:rPr>
          <w:rFonts w:hint="eastAsia" w:ascii="宋体" w:hAnsi="宋体" w:eastAsia="宋体" w:cs="宋体"/>
          <w:color w:val="000000" w:themeColor="text1"/>
          <w:kern w:val="1"/>
          <w:sz w:val="28"/>
          <w:szCs w:val="28"/>
          <w14:textFill>
            <w14:solidFill>
              <w14:schemeClr w14:val="tx1"/>
            </w14:solidFill>
          </w14:textFill>
        </w:rPr>
        <w:t>主要原因是办公费、</w:t>
      </w:r>
      <w:r>
        <w:rPr>
          <w:rFonts w:hint="eastAsia" w:ascii="宋体" w:hAnsi="宋体" w:eastAsia="宋体" w:cs="宋体"/>
          <w:color w:val="000000" w:themeColor="text1"/>
          <w:kern w:val="1"/>
          <w:sz w:val="28"/>
          <w:szCs w:val="28"/>
          <w:lang w:val="en-US" w:eastAsia="zh-CN"/>
          <w14:textFill>
            <w14:solidFill>
              <w14:schemeClr w14:val="tx1"/>
            </w14:solidFill>
          </w14:textFill>
        </w:rPr>
        <w:t>水费等</w:t>
      </w:r>
      <w:r>
        <w:rPr>
          <w:rFonts w:hint="eastAsia" w:ascii="宋体" w:hAnsi="宋体" w:eastAsia="宋体" w:cs="宋体"/>
          <w:color w:val="000000" w:themeColor="text1"/>
          <w:kern w:val="1"/>
          <w:sz w:val="28"/>
          <w:szCs w:val="28"/>
          <w14:textFill>
            <w14:solidFill>
              <w14:schemeClr w14:val="tx1"/>
            </w14:solidFill>
          </w14:textFill>
        </w:rPr>
        <w:t>有所减少</w:t>
      </w:r>
      <w:r>
        <w:rPr>
          <w:rFonts w:hint="eastAsia" w:ascii="宋体" w:hAnsi="宋体" w:eastAsia="宋体" w:cs="宋体"/>
          <w:color w:val="000000" w:themeColor="text1"/>
          <w:kern w:val="1"/>
          <w:sz w:val="28"/>
          <w:szCs w:val="28"/>
          <w:lang w:eastAsia="zh-CN"/>
          <w14:textFill>
            <w14:solidFill>
              <w14:schemeClr w14:val="tx1"/>
            </w14:solidFill>
          </w14:textFill>
        </w:rPr>
        <w:t>。</w:t>
      </w:r>
    </w:p>
    <w:p w14:paraId="255D9769">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三、一般公共预算“三公”经费及增减变化情况</w:t>
      </w:r>
    </w:p>
    <w:p w14:paraId="6C0BF14E">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lang w:eastAsia="zh-CN"/>
          <w14:textFill>
            <w14:solidFill>
              <w14:schemeClr w14:val="tx1"/>
            </w14:solidFill>
          </w14:textFill>
        </w:rPr>
        <w:t>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年“三公”经费预算</w:t>
      </w:r>
      <w:r>
        <w:rPr>
          <w:rFonts w:hint="eastAsia" w:ascii="宋体" w:hAnsi="宋体" w:eastAsia="宋体" w:cs="宋体"/>
          <w:color w:val="000000" w:themeColor="text1"/>
          <w:kern w:val="1"/>
          <w:sz w:val="28"/>
          <w:szCs w:val="28"/>
          <w:lang w:val="en-US" w:eastAsia="zh-CN"/>
          <w14:textFill>
            <w14:solidFill>
              <w14:schemeClr w14:val="tx1"/>
            </w14:solidFill>
          </w14:textFill>
        </w:rPr>
        <w:t>0.26</w:t>
      </w:r>
      <w:r>
        <w:rPr>
          <w:rFonts w:hint="eastAsia" w:ascii="宋体" w:hAnsi="宋体" w:eastAsia="宋体" w:cs="宋体"/>
          <w:color w:val="000000" w:themeColor="text1"/>
          <w:kern w:val="1"/>
          <w:sz w:val="28"/>
          <w:szCs w:val="28"/>
          <w14:textFill>
            <w14:solidFill>
              <w14:schemeClr w14:val="tx1"/>
            </w14:solidFill>
          </w14:textFill>
        </w:rPr>
        <w:t>万元，较上年预算减少</w:t>
      </w:r>
      <w:r>
        <w:rPr>
          <w:rFonts w:hint="eastAsia" w:ascii="宋体" w:hAnsi="宋体" w:eastAsia="宋体" w:cs="宋体"/>
          <w:color w:val="000000" w:themeColor="text1"/>
          <w:kern w:val="1"/>
          <w:sz w:val="28"/>
          <w:szCs w:val="28"/>
          <w:lang w:val="en-US" w:eastAsia="zh-CN"/>
          <w14:textFill>
            <w14:solidFill>
              <w14:schemeClr w14:val="tx1"/>
            </w14:solidFill>
          </w14:textFill>
        </w:rPr>
        <w:t>0.02</w:t>
      </w:r>
      <w:r>
        <w:rPr>
          <w:rFonts w:hint="eastAsia" w:ascii="宋体" w:hAnsi="宋体" w:eastAsia="宋体" w:cs="宋体"/>
          <w:color w:val="000000" w:themeColor="text1"/>
          <w:kern w:val="1"/>
          <w:sz w:val="28"/>
          <w:szCs w:val="28"/>
          <w14:textFill>
            <w14:solidFill>
              <w14:schemeClr w14:val="tx1"/>
            </w14:solidFill>
          </w14:textFill>
        </w:rPr>
        <w:t>万元，下降</w:t>
      </w:r>
      <w:r>
        <w:rPr>
          <w:rFonts w:hint="eastAsia" w:ascii="宋体" w:hAnsi="宋体" w:eastAsia="宋体" w:cs="宋体"/>
          <w:color w:val="000000" w:themeColor="text1"/>
          <w:kern w:val="1"/>
          <w:sz w:val="28"/>
          <w:szCs w:val="28"/>
          <w:lang w:val="en-US" w:eastAsia="zh-CN"/>
          <w14:textFill>
            <w14:solidFill>
              <w14:schemeClr w14:val="tx1"/>
            </w14:solidFill>
          </w14:textFill>
        </w:rPr>
        <w:t>0.56</w:t>
      </w:r>
      <w:r>
        <w:rPr>
          <w:rFonts w:hint="eastAsia" w:ascii="宋体" w:hAnsi="宋体" w:eastAsia="宋体" w:cs="宋体"/>
          <w:color w:val="000000" w:themeColor="text1"/>
          <w:kern w:val="1"/>
          <w:sz w:val="28"/>
          <w:szCs w:val="28"/>
          <w14:textFill>
            <w14:solidFill>
              <w14:schemeClr w14:val="tx1"/>
            </w14:solidFill>
          </w14:textFill>
        </w:rPr>
        <w:t>%，其中：公务接待费</w:t>
      </w:r>
      <w:r>
        <w:rPr>
          <w:rFonts w:hint="eastAsia" w:ascii="宋体" w:hAnsi="宋体" w:eastAsia="宋体" w:cs="宋体"/>
          <w:color w:val="000000" w:themeColor="text1"/>
          <w:kern w:val="1"/>
          <w:sz w:val="28"/>
          <w:szCs w:val="28"/>
          <w:lang w:val="en-US" w:eastAsia="zh-CN"/>
          <w14:textFill>
            <w14:solidFill>
              <w14:schemeClr w14:val="tx1"/>
            </w14:solidFill>
          </w14:textFill>
        </w:rPr>
        <w:t>0.26</w:t>
      </w:r>
      <w:r>
        <w:rPr>
          <w:rFonts w:hint="eastAsia" w:ascii="宋体" w:hAnsi="宋体" w:eastAsia="宋体" w:cs="宋体"/>
          <w:color w:val="000000" w:themeColor="text1"/>
          <w:kern w:val="1"/>
          <w:sz w:val="28"/>
          <w:szCs w:val="28"/>
          <w14:textFill>
            <w14:solidFill>
              <w14:schemeClr w14:val="tx1"/>
            </w14:solidFill>
          </w14:textFill>
        </w:rPr>
        <w:t>万元，较上年减少</w:t>
      </w:r>
      <w:r>
        <w:rPr>
          <w:rFonts w:hint="eastAsia" w:ascii="宋体" w:hAnsi="宋体" w:eastAsia="宋体" w:cs="宋体"/>
          <w:color w:val="000000" w:themeColor="text1"/>
          <w:kern w:val="1"/>
          <w:sz w:val="28"/>
          <w:szCs w:val="28"/>
          <w:lang w:val="en-US" w:eastAsia="zh-CN"/>
          <w14:textFill>
            <w14:solidFill>
              <w14:schemeClr w14:val="tx1"/>
            </w14:solidFill>
          </w14:textFill>
        </w:rPr>
        <w:t>0.02</w:t>
      </w:r>
      <w:r>
        <w:rPr>
          <w:rFonts w:hint="eastAsia" w:ascii="宋体" w:hAnsi="宋体" w:eastAsia="宋体" w:cs="宋体"/>
          <w:color w:val="000000" w:themeColor="text1"/>
          <w:kern w:val="1"/>
          <w:sz w:val="28"/>
          <w:szCs w:val="28"/>
          <w14:textFill>
            <w14:solidFill>
              <w14:schemeClr w14:val="tx1"/>
            </w14:solidFill>
          </w14:textFill>
        </w:rPr>
        <w:t>万元，下降</w:t>
      </w:r>
      <w:r>
        <w:rPr>
          <w:rFonts w:hint="eastAsia" w:ascii="宋体" w:hAnsi="宋体" w:eastAsia="宋体" w:cs="宋体"/>
          <w:color w:val="000000" w:themeColor="text1"/>
          <w:kern w:val="1"/>
          <w:sz w:val="28"/>
          <w:szCs w:val="28"/>
          <w:lang w:val="en-US" w:eastAsia="zh-CN"/>
          <w14:textFill>
            <w14:solidFill>
              <w14:schemeClr w14:val="tx1"/>
            </w14:solidFill>
          </w14:textFill>
        </w:rPr>
        <w:t>0.56</w:t>
      </w:r>
      <w:r>
        <w:rPr>
          <w:rFonts w:hint="eastAsia" w:ascii="宋体" w:hAnsi="宋体" w:eastAsia="宋体" w:cs="宋体"/>
          <w:color w:val="000000" w:themeColor="text1"/>
          <w:kern w:val="1"/>
          <w:sz w:val="28"/>
          <w:szCs w:val="28"/>
          <w14:textFill>
            <w14:solidFill>
              <w14:schemeClr w14:val="tx1"/>
            </w14:solidFill>
          </w14:textFill>
        </w:rPr>
        <w:t>%，原因为</w:t>
      </w:r>
      <w:r>
        <w:rPr>
          <w:rFonts w:hint="eastAsia" w:ascii="宋体" w:hAnsi="宋体" w:eastAsia="宋体" w:cs="宋体"/>
          <w:color w:val="000000" w:themeColor="text1"/>
          <w:kern w:val="1"/>
          <w:sz w:val="28"/>
          <w:szCs w:val="28"/>
          <w:lang w:val="en-US" w:eastAsia="zh-CN"/>
          <w14:textFill>
            <w14:solidFill>
              <w14:schemeClr w14:val="tx1"/>
            </w14:solidFill>
          </w14:textFill>
        </w:rPr>
        <w:t>减少</w:t>
      </w:r>
      <w:r>
        <w:rPr>
          <w:rFonts w:hint="eastAsia" w:ascii="宋体" w:hAnsi="宋体" w:eastAsia="宋体" w:cs="宋体"/>
          <w:color w:val="000000" w:themeColor="text1"/>
          <w:kern w:val="1"/>
          <w:sz w:val="28"/>
          <w:szCs w:val="28"/>
          <w14:textFill>
            <w14:solidFill>
              <w14:schemeClr w14:val="tx1"/>
            </w14:solidFill>
          </w14:textFill>
        </w:rPr>
        <w:t>公务接待费；因公出国（境）经费</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万元；公车运行维护费</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w:t>
      </w:r>
    </w:p>
    <w:p w14:paraId="751C2FF4">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四、政府采购预算安排情况</w:t>
      </w:r>
    </w:p>
    <w:p w14:paraId="39C0911F">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r>
        <w:rPr>
          <w:rFonts w:hint="eastAsia" w:ascii="宋体" w:hAnsi="宋体" w:eastAsia="宋体" w:cs="宋体"/>
          <w:color w:val="000000" w:themeColor="text1"/>
          <w:kern w:val="1"/>
          <w:sz w:val="28"/>
          <w:szCs w:val="28"/>
          <w:lang w:eastAsia="zh-CN"/>
          <w14:textFill>
            <w14:solidFill>
              <w14:schemeClr w14:val="tx1"/>
            </w14:solidFill>
          </w14:textFill>
        </w:rPr>
        <w:t>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年政府采购预算</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w:t>
      </w:r>
      <w:r>
        <w:rPr>
          <w:rFonts w:hint="eastAsia" w:ascii="宋体" w:hAnsi="宋体" w:eastAsia="宋体" w:cs="宋体"/>
          <w:color w:val="000000" w:themeColor="text1"/>
          <w:kern w:val="1"/>
          <w:sz w:val="28"/>
          <w:szCs w:val="28"/>
          <w:lang w:eastAsia="zh-CN"/>
          <w14:textFill>
            <w14:solidFill>
              <w14:schemeClr w14:val="tx1"/>
            </w14:solidFill>
          </w14:textFill>
        </w:rPr>
        <w:t>。</w:t>
      </w:r>
    </w:p>
    <w:p w14:paraId="4F70170A">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五、国有资产占用情况</w:t>
      </w:r>
    </w:p>
    <w:p w14:paraId="230C51A7">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截至上年底，本部门占有使用国有资产</w:t>
      </w:r>
      <w:r>
        <w:rPr>
          <w:rFonts w:hint="eastAsia" w:ascii="宋体" w:hAnsi="宋体" w:eastAsia="宋体" w:cs="宋体"/>
          <w:color w:val="000000" w:themeColor="text1"/>
          <w:kern w:val="1"/>
          <w:sz w:val="28"/>
          <w:szCs w:val="28"/>
          <w:lang w:val="en-US" w:eastAsia="zh-CN"/>
          <w14:textFill>
            <w14:solidFill>
              <w14:schemeClr w14:val="tx1"/>
            </w14:solidFill>
          </w14:textFill>
        </w:rPr>
        <w:t>3.9</w:t>
      </w:r>
      <w:r>
        <w:rPr>
          <w:rFonts w:hint="eastAsia" w:ascii="宋体" w:hAnsi="宋体" w:eastAsia="宋体" w:cs="宋体"/>
          <w:color w:val="000000" w:themeColor="text1"/>
          <w:kern w:val="1"/>
          <w:sz w:val="28"/>
          <w:szCs w:val="28"/>
          <w14:textFill>
            <w14:solidFill>
              <w14:schemeClr w14:val="tx1"/>
            </w14:solidFill>
          </w14:textFill>
        </w:rPr>
        <w:t>万元，主要资产为：办公家具用具3.9万元。</w:t>
      </w:r>
    </w:p>
    <w:p w14:paraId="74F987A9">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六、重点项目预算的绩效目标</w:t>
      </w:r>
    </w:p>
    <w:p w14:paraId="2756F9A2">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lang w:val="en-US" w:eastAsia="zh-CN"/>
          <w14:textFill>
            <w14:solidFill>
              <w14:schemeClr w14:val="tx1"/>
            </w14:solidFill>
          </w14:textFill>
        </w:rPr>
      </w:pPr>
      <w:r>
        <w:rPr>
          <w:rFonts w:hint="eastAsia" w:ascii="宋体" w:hAnsi="宋体" w:eastAsia="宋体" w:cs="宋体"/>
          <w:color w:val="000000" w:themeColor="text1"/>
          <w:kern w:val="1"/>
          <w:sz w:val="28"/>
          <w:szCs w:val="28"/>
          <w:lang w:val="en-US" w:eastAsia="zh-CN"/>
          <w14:textFill>
            <w14:solidFill>
              <w14:schemeClr w14:val="tx1"/>
            </w14:solidFill>
          </w14:textFill>
        </w:rPr>
        <w:t>无。</w:t>
      </w:r>
    </w:p>
    <w:p w14:paraId="083AFF4A">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bookmarkStart w:id="0" w:name="_GoBack"/>
      <w:bookmarkEnd w:id="0"/>
      <w:r>
        <w:rPr>
          <w:rFonts w:hint="eastAsia" w:ascii="宋体" w:hAnsi="宋体" w:eastAsia="宋体"/>
          <w:b/>
          <w:color w:val="333333"/>
          <w:sz w:val="28"/>
          <w:szCs w:val="28"/>
          <w:shd w:val="clear" w:color="auto" w:fill="FFFFFF"/>
        </w:rPr>
        <w:t>第三部分　</w:t>
      </w:r>
      <w:r>
        <w:rPr>
          <w:rFonts w:hint="eastAsia" w:ascii="宋体" w:hAnsi="宋体" w:eastAsia="宋体"/>
          <w:b/>
          <w:color w:val="333333"/>
          <w:sz w:val="28"/>
          <w:szCs w:val="28"/>
          <w:shd w:val="clear" w:color="auto" w:fill="FFFFFF"/>
          <w:lang w:eastAsia="zh-CN"/>
        </w:rPr>
        <w:t>202</w:t>
      </w:r>
      <w:r>
        <w:rPr>
          <w:rFonts w:hint="eastAsia" w:ascii="宋体" w:hAnsi="宋体" w:eastAsia="宋体"/>
          <w:b/>
          <w:color w:val="333333"/>
          <w:sz w:val="28"/>
          <w:szCs w:val="28"/>
          <w:shd w:val="clear" w:color="auto" w:fill="FFFFFF"/>
          <w:lang w:val="en-US" w:eastAsia="zh-CN"/>
        </w:rPr>
        <w:t>6</w:t>
      </w:r>
      <w:r>
        <w:rPr>
          <w:rFonts w:hint="eastAsia" w:ascii="宋体" w:hAnsi="宋体" w:eastAsia="宋体"/>
          <w:b/>
          <w:color w:val="333333"/>
          <w:sz w:val="28"/>
          <w:szCs w:val="28"/>
          <w:shd w:val="clear" w:color="auto" w:fill="FFFFFF"/>
        </w:rPr>
        <w:t>年部门预算公开表</w:t>
      </w:r>
    </w:p>
    <w:p w14:paraId="200797E3">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附表：</w:t>
      </w:r>
      <w:r>
        <w:rPr>
          <w:rFonts w:hint="eastAsia" w:ascii="宋体" w:hAnsi="宋体" w:eastAsia="宋体" w:cs="宋体"/>
          <w:color w:val="000000" w:themeColor="text1"/>
          <w:kern w:val="1"/>
          <w:sz w:val="28"/>
          <w:szCs w:val="28"/>
          <w:lang w:eastAsia="zh-CN"/>
          <w14:textFill>
            <w14:solidFill>
              <w14:schemeClr w14:val="tx1"/>
            </w14:solidFill>
          </w14:textFill>
        </w:rPr>
        <w:t>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年部门预算公开表</w:t>
      </w:r>
    </w:p>
    <w:p w14:paraId="79DC6D0F">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p>
    <w:p w14:paraId="2DDD20CA">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p>
    <w:p w14:paraId="527D7251">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p>
    <w:p w14:paraId="470C8994">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p>
    <w:p w14:paraId="2E31DA80">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p>
    <w:p w14:paraId="0065A1BA">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p>
    <w:p w14:paraId="694F2842">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p>
    <w:p w14:paraId="4057338A">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p>
    <w:p w14:paraId="355042D0">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p>
    <w:p w14:paraId="64BD0F95">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p>
    <w:p w14:paraId="23419129">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p>
    <w:p w14:paraId="46963490">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p>
    <w:p w14:paraId="79AE65C6">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p>
    <w:p w14:paraId="74A82F49">
      <w:pPr>
        <w:keepNext w:val="0"/>
        <w:keepLines w:val="0"/>
        <w:pageBreakBefore w:val="0"/>
        <w:widowControl/>
        <w:shd w:val="clear" w:color="auto" w:fill="FFFFFF"/>
        <w:kinsoku/>
        <w:wordWrap/>
        <w:overflowPunct/>
        <w:topLinePunct w:val="0"/>
        <w:autoSpaceDE/>
        <w:autoSpaceDN/>
        <w:bidi w:val="0"/>
        <w:adjustRightInd/>
        <w:spacing w:line="480" w:lineRule="exact"/>
        <w:jc w:val="both"/>
        <w:textAlignment w:val="auto"/>
        <w:rPr>
          <w:rFonts w:hint="eastAsia" w:ascii="宋体" w:hAnsi="宋体" w:eastAsia="宋体"/>
          <w:b/>
          <w:color w:val="333333"/>
          <w:sz w:val="28"/>
          <w:szCs w:val="28"/>
          <w:shd w:val="clear" w:color="auto" w:fill="FFFFFF"/>
        </w:rPr>
      </w:pPr>
    </w:p>
    <w:p w14:paraId="761B41BE">
      <w:pPr>
        <w:keepNext w:val="0"/>
        <w:keepLines w:val="0"/>
        <w:pageBreakBefore w:val="0"/>
        <w:widowControl/>
        <w:shd w:val="clear" w:color="auto" w:fill="FFFFFF"/>
        <w:kinsoku/>
        <w:wordWrap/>
        <w:overflowPunct/>
        <w:topLinePunct w:val="0"/>
        <w:autoSpaceDE/>
        <w:autoSpaceDN/>
        <w:bidi w:val="0"/>
        <w:adjustRightInd/>
        <w:spacing w:line="480" w:lineRule="exact"/>
        <w:jc w:val="both"/>
        <w:textAlignment w:val="auto"/>
        <w:rPr>
          <w:rFonts w:hint="eastAsia" w:ascii="宋体" w:hAnsi="宋体" w:eastAsia="宋体"/>
          <w:b/>
          <w:color w:val="333333"/>
          <w:sz w:val="28"/>
          <w:szCs w:val="28"/>
          <w:shd w:val="clear" w:color="auto" w:fill="FFFFFF"/>
        </w:rPr>
      </w:pPr>
      <w:r>
        <w:drawing>
          <wp:anchor distT="0" distB="0" distL="114935" distR="114935" simplePos="0" relativeHeight="251660288" behindDoc="0" locked="0" layoutInCell="1" allowOverlap="1">
            <wp:simplePos x="0" y="0"/>
            <wp:positionH relativeFrom="column">
              <wp:posOffset>9525</wp:posOffset>
            </wp:positionH>
            <wp:positionV relativeFrom="paragraph">
              <wp:posOffset>6647180</wp:posOffset>
            </wp:positionV>
            <wp:extent cx="5612765" cy="1224280"/>
            <wp:effectExtent l="0" t="0" r="6985" b="13970"/>
            <wp:wrapTopAndBottom/>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5"/>
                    <a:stretch>
                      <a:fillRect/>
                    </a:stretch>
                  </pic:blipFill>
                  <pic:spPr>
                    <a:xfrm>
                      <a:off x="0" y="0"/>
                      <a:ext cx="5612765" cy="1224280"/>
                    </a:xfrm>
                    <a:prstGeom prst="rect">
                      <a:avLst/>
                    </a:prstGeom>
                    <a:noFill/>
                    <a:ln>
                      <a:noFill/>
                    </a:ln>
                  </pic:spPr>
                </pic:pic>
              </a:graphicData>
            </a:graphic>
          </wp:anchor>
        </w:drawing>
      </w:r>
      <w:r>
        <w:drawing>
          <wp:anchor distT="0" distB="0" distL="114935" distR="114935" simplePos="0" relativeHeight="251659264" behindDoc="0" locked="0" layoutInCell="1" allowOverlap="1">
            <wp:simplePos x="0" y="0"/>
            <wp:positionH relativeFrom="column">
              <wp:posOffset>27940</wp:posOffset>
            </wp:positionH>
            <wp:positionV relativeFrom="paragraph">
              <wp:posOffset>68580</wp:posOffset>
            </wp:positionV>
            <wp:extent cx="5614035" cy="6424930"/>
            <wp:effectExtent l="0" t="0" r="5715" b="13970"/>
            <wp:wrapTopAndBottom/>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stretch>
                      <a:fillRect/>
                    </a:stretch>
                  </pic:blipFill>
                  <pic:spPr>
                    <a:xfrm>
                      <a:off x="0" y="0"/>
                      <a:ext cx="5614035" cy="6424930"/>
                    </a:xfrm>
                    <a:prstGeom prst="rect">
                      <a:avLst/>
                    </a:prstGeom>
                    <a:noFill/>
                    <a:ln>
                      <a:noFill/>
                    </a:ln>
                  </pic:spPr>
                </pic:pic>
              </a:graphicData>
            </a:graphic>
          </wp:anchor>
        </w:drawing>
      </w:r>
    </w:p>
    <w:p w14:paraId="1CF9D619">
      <w:pPr>
        <w:keepNext w:val="0"/>
        <w:keepLines w:val="0"/>
        <w:pageBreakBefore w:val="0"/>
        <w:widowControl/>
        <w:shd w:val="clear" w:color="auto" w:fill="FFFFFF"/>
        <w:kinsoku/>
        <w:wordWrap/>
        <w:overflowPunct/>
        <w:topLinePunct w:val="0"/>
        <w:autoSpaceDE/>
        <w:autoSpaceDN/>
        <w:bidi w:val="0"/>
        <w:adjustRightInd/>
        <w:spacing w:line="480" w:lineRule="exact"/>
        <w:jc w:val="both"/>
        <w:textAlignment w:val="auto"/>
        <w:rPr>
          <w:rFonts w:hint="eastAsia" w:ascii="宋体" w:hAnsi="宋体" w:eastAsia="宋体"/>
          <w:b/>
          <w:color w:val="333333"/>
          <w:sz w:val="28"/>
          <w:szCs w:val="28"/>
          <w:shd w:val="clear" w:color="auto" w:fill="FFFFFF"/>
        </w:rPr>
      </w:pPr>
      <w:r>
        <w:drawing>
          <wp:anchor distT="0" distB="0" distL="114935" distR="114935" simplePos="0" relativeHeight="251662336" behindDoc="0" locked="0" layoutInCell="1" allowOverlap="1">
            <wp:simplePos x="0" y="0"/>
            <wp:positionH relativeFrom="column">
              <wp:posOffset>18415</wp:posOffset>
            </wp:positionH>
            <wp:positionV relativeFrom="paragraph">
              <wp:posOffset>2972435</wp:posOffset>
            </wp:positionV>
            <wp:extent cx="5612130" cy="5159375"/>
            <wp:effectExtent l="0" t="0" r="7620" b="3175"/>
            <wp:wrapTopAndBottom/>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7"/>
                    <a:stretch>
                      <a:fillRect/>
                    </a:stretch>
                  </pic:blipFill>
                  <pic:spPr>
                    <a:xfrm>
                      <a:off x="0" y="0"/>
                      <a:ext cx="5612130" cy="5159375"/>
                    </a:xfrm>
                    <a:prstGeom prst="rect">
                      <a:avLst/>
                    </a:prstGeom>
                    <a:noFill/>
                    <a:ln>
                      <a:noFill/>
                    </a:ln>
                  </pic:spPr>
                </pic:pic>
              </a:graphicData>
            </a:graphic>
          </wp:anchor>
        </w:drawing>
      </w:r>
      <w:r>
        <w:drawing>
          <wp:anchor distT="0" distB="0" distL="114935" distR="114935" simplePos="0" relativeHeight="251661312" behindDoc="0" locked="0" layoutInCell="1" allowOverlap="1">
            <wp:simplePos x="0" y="0"/>
            <wp:positionH relativeFrom="column">
              <wp:posOffset>9525</wp:posOffset>
            </wp:positionH>
            <wp:positionV relativeFrom="paragraph">
              <wp:posOffset>67945</wp:posOffset>
            </wp:positionV>
            <wp:extent cx="5612765" cy="2828925"/>
            <wp:effectExtent l="0" t="0" r="6985" b="9525"/>
            <wp:wrapTopAndBottom/>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8">
                      <a:lum bright="-6000"/>
                    </a:blip>
                    <a:stretch>
                      <a:fillRect/>
                    </a:stretch>
                  </pic:blipFill>
                  <pic:spPr>
                    <a:xfrm>
                      <a:off x="0" y="0"/>
                      <a:ext cx="5612765" cy="2828925"/>
                    </a:xfrm>
                    <a:prstGeom prst="rect">
                      <a:avLst/>
                    </a:prstGeom>
                    <a:noFill/>
                    <a:ln>
                      <a:noFill/>
                    </a:ln>
                  </pic:spPr>
                </pic:pic>
              </a:graphicData>
            </a:graphic>
          </wp:anchor>
        </w:drawing>
      </w:r>
    </w:p>
    <w:p w14:paraId="1C022EC6">
      <w:pPr>
        <w:keepNext w:val="0"/>
        <w:keepLines w:val="0"/>
        <w:pageBreakBefore w:val="0"/>
        <w:widowControl/>
        <w:shd w:val="clear" w:color="auto" w:fill="FFFFFF"/>
        <w:kinsoku/>
        <w:wordWrap/>
        <w:overflowPunct/>
        <w:topLinePunct w:val="0"/>
        <w:autoSpaceDE/>
        <w:autoSpaceDN/>
        <w:bidi w:val="0"/>
        <w:adjustRightInd/>
        <w:spacing w:line="480" w:lineRule="exact"/>
        <w:jc w:val="both"/>
        <w:textAlignment w:val="auto"/>
        <w:rPr>
          <w:rFonts w:hint="eastAsia" w:ascii="宋体" w:hAnsi="宋体" w:eastAsia="宋体"/>
          <w:b/>
          <w:color w:val="333333"/>
          <w:sz w:val="28"/>
          <w:szCs w:val="28"/>
          <w:shd w:val="clear" w:color="auto" w:fill="FFFFFF"/>
        </w:rPr>
      </w:pPr>
      <w:r>
        <w:drawing>
          <wp:anchor distT="0" distB="0" distL="114935" distR="114935" simplePos="0" relativeHeight="251664384" behindDoc="0" locked="0" layoutInCell="1" allowOverlap="1">
            <wp:simplePos x="0" y="0"/>
            <wp:positionH relativeFrom="column">
              <wp:posOffset>8890</wp:posOffset>
            </wp:positionH>
            <wp:positionV relativeFrom="paragraph">
              <wp:posOffset>2870835</wp:posOffset>
            </wp:positionV>
            <wp:extent cx="5610225" cy="5082540"/>
            <wp:effectExtent l="0" t="0" r="9525" b="3810"/>
            <wp:wrapTopAndBottom/>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9"/>
                    <a:stretch>
                      <a:fillRect/>
                    </a:stretch>
                  </pic:blipFill>
                  <pic:spPr>
                    <a:xfrm>
                      <a:off x="0" y="0"/>
                      <a:ext cx="5610225" cy="5082540"/>
                    </a:xfrm>
                    <a:prstGeom prst="rect">
                      <a:avLst/>
                    </a:prstGeom>
                    <a:noFill/>
                    <a:ln>
                      <a:noFill/>
                    </a:ln>
                  </pic:spPr>
                </pic:pic>
              </a:graphicData>
            </a:graphic>
          </wp:anchor>
        </w:drawing>
      </w:r>
      <w:r>
        <w:drawing>
          <wp:anchor distT="0" distB="0" distL="114935" distR="114935" simplePos="0" relativeHeight="251663360" behindDoc="0" locked="0" layoutInCell="1" allowOverlap="1">
            <wp:simplePos x="0" y="0"/>
            <wp:positionH relativeFrom="column">
              <wp:posOffset>9525</wp:posOffset>
            </wp:positionH>
            <wp:positionV relativeFrom="paragraph">
              <wp:posOffset>41910</wp:posOffset>
            </wp:positionV>
            <wp:extent cx="5612765" cy="2756535"/>
            <wp:effectExtent l="0" t="0" r="6985" b="5715"/>
            <wp:wrapTopAndBottom/>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0"/>
                    <a:stretch>
                      <a:fillRect/>
                    </a:stretch>
                  </pic:blipFill>
                  <pic:spPr>
                    <a:xfrm>
                      <a:off x="0" y="0"/>
                      <a:ext cx="5612765" cy="2756535"/>
                    </a:xfrm>
                    <a:prstGeom prst="rect">
                      <a:avLst/>
                    </a:prstGeom>
                    <a:noFill/>
                    <a:ln>
                      <a:noFill/>
                    </a:ln>
                  </pic:spPr>
                </pic:pic>
              </a:graphicData>
            </a:graphic>
          </wp:anchor>
        </w:drawing>
      </w:r>
    </w:p>
    <w:p w14:paraId="09762F39">
      <w:pPr>
        <w:keepNext w:val="0"/>
        <w:keepLines w:val="0"/>
        <w:pageBreakBefore w:val="0"/>
        <w:widowControl/>
        <w:shd w:val="clear" w:color="auto" w:fill="FFFFFF"/>
        <w:kinsoku/>
        <w:wordWrap/>
        <w:overflowPunct/>
        <w:topLinePunct w:val="0"/>
        <w:autoSpaceDE/>
        <w:autoSpaceDN/>
        <w:bidi w:val="0"/>
        <w:adjustRightInd/>
        <w:spacing w:line="480" w:lineRule="exact"/>
        <w:jc w:val="both"/>
        <w:textAlignment w:val="auto"/>
        <w:rPr>
          <w:rFonts w:hint="eastAsia" w:ascii="宋体" w:hAnsi="宋体" w:eastAsia="宋体"/>
          <w:b/>
          <w:color w:val="333333"/>
          <w:sz w:val="28"/>
          <w:szCs w:val="28"/>
          <w:shd w:val="clear" w:color="auto" w:fill="FFFFFF"/>
        </w:rPr>
      </w:pPr>
      <w:r>
        <w:drawing>
          <wp:anchor distT="0" distB="0" distL="114935" distR="114935" simplePos="0" relativeHeight="251665408" behindDoc="0" locked="0" layoutInCell="1" allowOverlap="1">
            <wp:simplePos x="0" y="0"/>
            <wp:positionH relativeFrom="column">
              <wp:posOffset>635</wp:posOffset>
            </wp:positionH>
            <wp:positionV relativeFrom="paragraph">
              <wp:posOffset>45720</wp:posOffset>
            </wp:positionV>
            <wp:extent cx="5612765" cy="1330325"/>
            <wp:effectExtent l="0" t="0" r="6985" b="3175"/>
            <wp:wrapTopAndBottom/>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1"/>
                    <a:stretch>
                      <a:fillRect/>
                    </a:stretch>
                  </pic:blipFill>
                  <pic:spPr>
                    <a:xfrm>
                      <a:off x="0" y="0"/>
                      <a:ext cx="5612765" cy="1330325"/>
                    </a:xfrm>
                    <a:prstGeom prst="rect">
                      <a:avLst/>
                    </a:prstGeom>
                    <a:noFill/>
                    <a:ln>
                      <a:noFill/>
                    </a:ln>
                  </pic:spPr>
                </pic:pic>
              </a:graphicData>
            </a:graphic>
          </wp:anchor>
        </w:drawing>
      </w:r>
    </w:p>
    <w:p w14:paraId="10273DE2">
      <w:pPr>
        <w:keepNext w:val="0"/>
        <w:keepLines w:val="0"/>
        <w:pageBreakBefore w:val="0"/>
        <w:widowControl/>
        <w:shd w:val="clear" w:color="auto" w:fill="FFFFFF"/>
        <w:kinsoku/>
        <w:wordWrap/>
        <w:overflowPunct/>
        <w:topLinePunct w:val="0"/>
        <w:autoSpaceDE/>
        <w:autoSpaceDN/>
        <w:bidi w:val="0"/>
        <w:adjustRightInd/>
        <w:spacing w:line="480" w:lineRule="exact"/>
        <w:jc w:val="both"/>
        <w:textAlignment w:val="auto"/>
        <w:rPr>
          <w:rFonts w:hint="eastAsia" w:ascii="宋体" w:hAnsi="宋体" w:eastAsia="宋体"/>
          <w:b/>
          <w:color w:val="333333"/>
          <w:sz w:val="28"/>
          <w:szCs w:val="28"/>
          <w:shd w:val="clear" w:color="auto" w:fill="FFFFFF"/>
        </w:rPr>
      </w:pPr>
      <w:r>
        <w:drawing>
          <wp:anchor distT="0" distB="0" distL="114935" distR="114935" simplePos="0" relativeHeight="251666432" behindDoc="0" locked="0" layoutInCell="1" allowOverlap="1">
            <wp:simplePos x="0" y="0"/>
            <wp:positionH relativeFrom="column">
              <wp:posOffset>-8255</wp:posOffset>
            </wp:positionH>
            <wp:positionV relativeFrom="paragraph">
              <wp:posOffset>87630</wp:posOffset>
            </wp:positionV>
            <wp:extent cx="5615940" cy="934720"/>
            <wp:effectExtent l="0" t="0" r="3810" b="17780"/>
            <wp:wrapTopAndBottom/>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2"/>
                    <a:stretch>
                      <a:fillRect/>
                    </a:stretch>
                  </pic:blipFill>
                  <pic:spPr>
                    <a:xfrm>
                      <a:off x="0" y="0"/>
                      <a:ext cx="5615940" cy="934720"/>
                    </a:xfrm>
                    <a:prstGeom prst="rect">
                      <a:avLst/>
                    </a:prstGeom>
                    <a:noFill/>
                    <a:ln>
                      <a:noFill/>
                    </a:ln>
                  </pic:spPr>
                </pic:pic>
              </a:graphicData>
            </a:graphic>
          </wp:anchor>
        </w:drawing>
      </w:r>
      <w:r>
        <w:drawing>
          <wp:anchor distT="0" distB="0" distL="114935" distR="114935" simplePos="0" relativeHeight="251667456" behindDoc="0" locked="0" layoutInCell="1" allowOverlap="1">
            <wp:simplePos x="0" y="0"/>
            <wp:positionH relativeFrom="column">
              <wp:posOffset>17780</wp:posOffset>
            </wp:positionH>
            <wp:positionV relativeFrom="paragraph">
              <wp:posOffset>1709420</wp:posOffset>
            </wp:positionV>
            <wp:extent cx="5613400" cy="2346960"/>
            <wp:effectExtent l="0" t="0" r="6350" b="15240"/>
            <wp:wrapTopAndBottom/>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3"/>
                    <a:stretch>
                      <a:fillRect/>
                    </a:stretch>
                  </pic:blipFill>
                  <pic:spPr>
                    <a:xfrm>
                      <a:off x="0" y="0"/>
                      <a:ext cx="5613400" cy="2346960"/>
                    </a:xfrm>
                    <a:prstGeom prst="rect">
                      <a:avLst/>
                    </a:prstGeom>
                    <a:noFill/>
                    <a:ln>
                      <a:noFill/>
                    </a:ln>
                  </pic:spPr>
                </pic:pic>
              </a:graphicData>
            </a:graphic>
          </wp:anchor>
        </w:drawing>
      </w:r>
    </w:p>
    <w:p w14:paraId="70C8E78D">
      <w:pPr>
        <w:keepNext w:val="0"/>
        <w:keepLines w:val="0"/>
        <w:pageBreakBefore w:val="0"/>
        <w:widowControl/>
        <w:shd w:val="clear" w:color="auto" w:fill="FFFFFF"/>
        <w:kinsoku/>
        <w:wordWrap/>
        <w:overflowPunct/>
        <w:topLinePunct w:val="0"/>
        <w:autoSpaceDE/>
        <w:autoSpaceDN/>
        <w:bidi w:val="0"/>
        <w:adjustRightInd/>
        <w:spacing w:line="480" w:lineRule="exact"/>
        <w:jc w:val="both"/>
        <w:textAlignment w:val="auto"/>
        <w:rPr>
          <w:rFonts w:hint="eastAsia" w:ascii="宋体" w:hAnsi="宋体" w:eastAsia="宋体"/>
          <w:b/>
          <w:color w:val="333333"/>
          <w:sz w:val="28"/>
          <w:szCs w:val="28"/>
          <w:shd w:val="clear" w:color="auto" w:fill="FFFFFF"/>
        </w:rPr>
      </w:pPr>
    </w:p>
    <w:p w14:paraId="4F7B8081">
      <w:pPr>
        <w:keepNext w:val="0"/>
        <w:keepLines w:val="0"/>
        <w:pageBreakBefore w:val="0"/>
        <w:widowControl/>
        <w:shd w:val="clear" w:color="auto" w:fill="FFFFFF"/>
        <w:kinsoku/>
        <w:wordWrap/>
        <w:overflowPunct/>
        <w:topLinePunct w:val="0"/>
        <w:autoSpaceDE/>
        <w:autoSpaceDN/>
        <w:bidi w:val="0"/>
        <w:adjustRightInd/>
        <w:spacing w:line="480" w:lineRule="exact"/>
        <w:jc w:val="both"/>
        <w:textAlignment w:val="auto"/>
        <w:rPr>
          <w:rFonts w:hint="eastAsia" w:ascii="宋体" w:hAnsi="宋体" w:eastAsia="宋体"/>
          <w:b/>
          <w:color w:val="333333"/>
          <w:sz w:val="28"/>
          <w:szCs w:val="28"/>
          <w:shd w:val="clear" w:color="auto" w:fill="FFFFFF"/>
        </w:rPr>
      </w:pPr>
    </w:p>
    <w:p w14:paraId="431D389C">
      <w:pPr>
        <w:keepNext w:val="0"/>
        <w:keepLines w:val="0"/>
        <w:pageBreakBefore w:val="0"/>
        <w:widowControl/>
        <w:shd w:val="clear" w:color="auto" w:fill="FFFFFF"/>
        <w:kinsoku/>
        <w:wordWrap/>
        <w:overflowPunct/>
        <w:topLinePunct w:val="0"/>
        <w:autoSpaceDE/>
        <w:autoSpaceDN/>
        <w:bidi w:val="0"/>
        <w:adjustRightInd/>
        <w:spacing w:line="480" w:lineRule="exact"/>
        <w:jc w:val="both"/>
        <w:textAlignment w:val="auto"/>
        <w:rPr>
          <w:rFonts w:hint="eastAsia" w:ascii="宋体" w:hAnsi="宋体" w:eastAsia="宋体"/>
          <w:b/>
          <w:color w:val="333333"/>
          <w:sz w:val="28"/>
          <w:szCs w:val="28"/>
          <w:shd w:val="clear" w:color="auto" w:fill="FFFFFF"/>
        </w:rPr>
      </w:pPr>
      <w:r>
        <w:drawing>
          <wp:anchor distT="0" distB="0" distL="114935" distR="114935" simplePos="0" relativeHeight="251668480" behindDoc="0" locked="0" layoutInCell="1" allowOverlap="1">
            <wp:simplePos x="0" y="0"/>
            <wp:positionH relativeFrom="column">
              <wp:posOffset>18415</wp:posOffset>
            </wp:positionH>
            <wp:positionV relativeFrom="paragraph">
              <wp:posOffset>45085</wp:posOffset>
            </wp:positionV>
            <wp:extent cx="5611495" cy="1033145"/>
            <wp:effectExtent l="0" t="0" r="8255" b="14605"/>
            <wp:wrapTopAndBottom/>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14"/>
                    <a:stretch>
                      <a:fillRect/>
                    </a:stretch>
                  </pic:blipFill>
                  <pic:spPr>
                    <a:xfrm>
                      <a:off x="0" y="0"/>
                      <a:ext cx="5611495" cy="1033145"/>
                    </a:xfrm>
                    <a:prstGeom prst="rect">
                      <a:avLst/>
                    </a:prstGeom>
                    <a:noFill/>
                    <a:ln>
                      <a:noFill/>
                    </a:ln>
                  </pic:spPr>
                </pic:pic>
              </a:graphicData>
            </a:graphic>
          </wp:anchor>
        </w:drawing>
      </w:r>
    </w:p>
    <w:p w14:paraId="35226FFE">
      <w:pPr>
        <w:keepNext w:val="0"/>
        <w:keepLines w:val="0"/>
        <w:pageBreakBefore w:val="0"/>
        <w:widowControl/>
        <w:shd w:val="clear" w:color="auto" w:fill="FFFFFF"/>
        <w:kinsoku/>
        <w:wordWrap/>
        <w:overflowPunct/>
        <w:topLinePunct w:val="0"/>
        <w:autoSpaceDE/>
        <w:autoSpaceDN/>
        <w:bidi w:val="0"/>
        <w:adjustRightInd/>
        <w:spacing w:line="480" w:lineRule="exact"/>
        <w:jc w:val="both"/>
        <w:textAlignment w:val="auto"/>
        <w:rPr>
          <w:rFonts w:hint="eastAsia" w:ascii="宋体" w:hAnsi="宋体" w:eastAsia="宋体"/>
          <w:b/>
          <w:color w:val="333333"/>
          <w:sz w:val="28"/>
          <w:szCs w:val="28"/>
          <w:shd w:val="clear" w:color="auto" w:fill="FFFFFF"/>
        </w:rPr>
      </w:pPr>
    </w:p>
    <w:p w14:paraId="76B9DBBF">
      <w:pPr>
        <w:keepNext w:val="0"/>
        <w:keepLines w:val="0"/>
        <w:pageBreakBefore w:val="0"/>
        <w:widowControl/>
        <w:shd w:val="clear" w:color="auto" w:fill="FFFFFF"/>
        <w:kinsoku/>
        <w:wordWrap/>
        <w:overflowPunct/>
        <w:topLinePunct w:val="0"/>
        <w:autoSpaceDE/>
        <w:autoSpaceDN/>
        <w:bidi w:val="0"/>
        <w:adjustRightInd/>
        <w:spacing w:line="480" w:lineRule="exact"/>
        <w:jc w:val="both"/>
        <w:textAlignment w:val="auto"/>
        <w:rPr>
          <w:rFonts w:hint="eastAsia" w:ascii="宋体" w:hAnsi="宋体" w:eastAsia="宋体"/>
          <w:b/>
          <w:color w:val="333333"/>
          <w:sz w:val="28"/>
          <w:szCs w:val="28"/>
          <w:shd w:val="clear" w:color="auto" w:fill="FFFFFF"/>
        </w:rPr>
      </w:pPr>
    </w:p>
    <w:p w14:paraId="172ABBFA">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r>
        <w:rPr>
          <w:rFonts w:hint="eastAsia" w:ascii="宋体" w:hAnsi="宋体" w:eastAsia="宋体"/>
          <w:b/>
          <w:color w:val="333333"/>
          <w:sz w:val="28"/>
          <w:szCs w:val="28"/>
          <w:shd w:val="clear" w:color="auto" w:fill="FFFFFF"/>
        </w:rPr>
        <w:t>第四部分　名词解释</w:t>
      </w:r>
    </w:p>
    <w:p w14:paraId="7B14EDAC">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一、一般公共预算财政拨款收入：指本级财政一般公共预算当年拨付的资金。</w:t>
      </w:r>
    </w:p>
    <w:p w14:paraId="0671486B">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二、人员类项目：指部门和单位有关人员的工资福利支出、对个人和家庭的补助支出项目。</w:t>
      </w:r>
    </w:p>
    <w:p w14:paraId="3AB151CA">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三、运转类项目：指各部门和单位为保障其机构自身正常运转、完成日常工作任务所发生的公用经费项目和专项用于大型公用设施、大型专用设备、专业信息系统运行维护等的其他运转类项目。</w:t>
      </w:r>
    </w:p>
    <w:p w14:paraId="493B4FD1">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四、特定目标类项目：指部门和单位为完成其特定的工作任务和事业发展目标所发生的支出。</w:t>
      </w:r>
    </w:p>
    <w:p w14:paraId="4E8D2787">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五、机关运行经费：为保障行政单位(包括参照公务员法管理的事业单位)运行用于购买货物和服务的各项资金，包括办公及印刷</w:t>
      </w:r>
      <w:r>
        <w:rPr>
          <w:rFonts w:hint="eastAsia" w:ascii="宋体" w:hAnsi="宋体" w:eastAsia="宋体"/>
          <w:color w:val="333333"/>
          <w:sz w:val="28"/>
          <w:szCs w:val="28"/>
          <w:shd w:val="clear" w:color="auto" w:fill="FFFFFF"/>
        </w:rPr>
        <w:t>费、邮电费、</w:t>
      </w:r>
      <w:r>
        <w:rPr>
          <w:rFonts w:hint="eastAsia" w:ascii="宋体" w:hAnsi="宋体" w:eastAsia="宋体" w:cs="宋体"/>
          <w:color w:val="000000" w:themeColor="text1"/>
          <w:kern w:val="1"/>
          <w:sz w:val="28"/>
          <w:szCs w:val="28"/>
          <w14:textFill>
            <w14:solidFill>
              <w14:schemeClr w14:val="tx1"/>
            </w14:solidFill>
          </w14:textFill>
        </w:rPr>
        <w:t>差旅费、会议费、福利费、日常维修费、专用材料及一般设备购置费、办公用房水电费、办公用房取暖费、办公用房物业管理费、公务用车运行维护费以及其他费用等。</w:t>
      </w:r>
    </w:p>
    <w:p w14:paraId="1945F50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 xml:space="preserve">六、“三公”经费：指使用一般公共预算财政拨款安排的因公出国(境)费、公务用车购置及运行维护费和公务接待费。其中，因公出国(境)费用反映单位公务出国(境)的国际旅费、国外城市间交通费、住宿费、伙食费、培训费、公杂费等支出；公务用车购置及运行维护费反映单位公务用车车辆购置支出(含车辆购置税)及租用费、燃料费、维修费、过桥过路费、保险费、安全奖励费用等支出；公务接待费反映单位按规定开支的各类公务接待(含外宾接待)费用。 </w:t>
      </w:r>
    </w:p>
    <w:p w14:paraId="3DBF1EC9">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pPr>
      <w:r>
        <w:rPr>
          <w:rFonts w:hint="eastAsia" w:ascii="宋体" w:hAnsi="宋体" w:eastAsia="宋体" w:cs="宋体"/>
          <w:color w:val="000000" w:themeColor="text1"/>
          <w:kern w:val="1"/>
          <w:sz w:val="28"/>
          <w:szCs w:val="28"/>
          <w14:textFill>
            <w14:solidFill>
              <w14:schemeClr w14:val="tx1"/>
            </w14:solidFill>
          </w14:textFill>
        </w:rPr>
        <w:t>七、政府采购：是指各级国家机关、事业单位和团体组织，使用财政性资金采购依法制定的集中采购目录以内的或者采购限额标准以上的货物、工程和服务的行为。政府采购不仅是指具体的采购过程，而且是采购政策、采购程序、采购过程及采购管理的总称，是一种对公共采购管理的制度，是一种政府行为。</w:t>
      </w:r>
    </w:p>
    <w:sectPr>
      <w:footerReference r:id="rId3" w:type="default"/>
      <w:pgSz w:w="11906" w:h="16838"/>
      <w:pgMar w:top="2098" w:right="1531" w:bottom="1701" w:left="1531" w:header="851" w:footer="1134"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17111">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046884">
                          <w:pPr>
                            <w:pStyle w:val="2"/>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- 1 -</w:t>
                          </w:r>
                          <w:r>
                            <w:rPr>
                              <w:rFonts w:hint="eastAsia" w:asciiTheme="majorEastAsia" w:hAnsiTheme="majorEastAsia" w:eastAsiaTheme="majorEastAsia" w:cstheme="majorEastAsia"/>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C046884">
                    <w:pPr>
                      <w:pStyle w:val="2"/>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- 1 -</w:t>
                    </w:r>
                    <w:r>
                      <w:rPr>
                        <w:rFonts w:hint="eastAsia" w:asciiTheme="majorEastAsia" w:hAnsiTheme="majorEastAsia" w:eastAsiaTheme="majorEastAsia" w:cstheme="maj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782A7C"/>
    <w:rsid w:val="2909275B"/>
    <w:rsid w:val="2DCF003E"/>
    <w:rsid w:val="30A0367B"/>
    <w:rsid w:val="40ED59A7"/>
    <w:rsid w:val="4C1827E3"/>
    <w:rsid w:val="60715CEE"/>
    <w:rsid w:val="78651DAB"/>
    <w:rsid w:val="7E1C490D"/>
    <w:rsid w:val="7EA15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2013</Words>
  <Characters>2074</Characters>
  <Lines>0</Lines>
  <Paragraphs>0</Paragraphs>
  <TotalTime>35</TotalTime>
  <ScaleCrop>false</ScaleCrop>
  <LinksUpToDate>false</LinksUpToDate>
  <CharactersWithSpaces>2149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2026-01-09T06:54:00Z</dcterms:created>
  <dc:creator>Administrator</dc:creator>
  <cp:lastModifiedBy>易燃易爆炸</cp:lastModifiedBy>
  <dcterms:modified xsi:type="dcterms:W3CDTF">2026-01-27T03:12:16Z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eyJoZGlkIjoiZjNmMjNmNzMwYzQ1YzgxNGZjNjUyZGZkOWNlYTczYTciLCJ1c2VySWQiOiI1NTc4NjU0NTMifQ==</vt:lpwstr>
  </property>
  <property fmtid="{D5CDD505-2E9C-101B-9397-08002B2CF9AE}" pid="4" name="ICV">
    <vt:lpwstr>A69A4F9B37C44949BB274C781924475A_13</vt:lpwstr>
  </property>
</Properties>
</file>