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天门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市文化和旅游局2026年度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涉企行政检查计划</w:t>
      </w:r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  一、工作目标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  为进一步贯彻落实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省文旅</w:t>
      </w:r>
      <w:r>
        <w:rPr>
          <w:rFonts w:hint="eastAsia" w:ascii="仿宋" w:hAnsi="仿宋" w:eastAsia="仿宋" w:cs="仿宋"/>
          <w:sz w:val="32"/>
          <w:szCs w:val="32"/>
        </w:rPr>
        <w:t>厅和市人民政府行政执法监督局关于规范涉企行政检查的部署要求，促进严格规范公正文明执法，维护公共利益和社会秩序，助力打造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优良</w:t>
      </w:r>
      <w:r>
        <w:rPr>
          <w:rFonts w:hint="eastAsia" w:ascii="仿宋" w:hAnsi="仿宋" w:eastAsia="仿宋" w:cs="仿宋"/>
          <w:sz w:val="32"/>
          <w:szCs w:val="32"/>
        </w:rPr>
        <w:t>营商环境。按照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天门</w:t>
      </w:r>
      <w:r>
        <w:rPr>
          <w:rFonts w:hint="eastAsia" w:ascii="仿宋" w:hAnsi="仿宋" w:eastAsia="仿宋" w:cs="仿宋"/>
          <w:sz w:val="32"/>
          <w:szCs w:val="32"/>
        </w:rPr>
        <w:t>市文化和旅游局行政检查事项清单，制定2026年度行政检查计划。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二、工作内容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</w:t>
      </w:r>
      <w:r>
        <w:rPr>
          <w:rFonts w:hint="eastAsia" w:ascii="楷体" w:hAnsi="楷体" w:eastAsia="楷体" w:cs="楷体"/>
          <w:sz w:val="32"/>
          <w:szCs w:val="32"/>
        </w:rPr>
        <w:t> 1.检查主体：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天门</w:t>
      </w:r>
      <w:r>
        <w:rPr>
          <w:rFonts w:hint="eastAsia" w:ascii="仿宋" w:hAnsi="仿宋" w:eastAsia="仿宋" w:cs="仿宋"/>
          <w:sz w:val="32"/>
          <w:szCs w:val="32"/>
        </w:rPr>
        <w:t>市文化和旅游局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2.检查对象范围：</w:t>
      </w:r>
      <w:r>
        <w:rPr>
          <w:rFonts w:hint="eastAsia" w:ascii="仿宋" w:hAnsi="仿宋" w:eastAsia="仿宋" w:cs="仿宋"/>
          <w:sz w:val="32"/>
          <w:szCs w:val="32"/>
        </w:rPr>
        <w:t>本市文化市场经营主体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3.检查项目：</w:t>
      </w:r>
      <w:r>
        <w:rPr>
          <w:rFonts w:hint="eastAsia" w:ascii="仿宋" w:hAnsi="仿宋" w:eastAsia="仿宋" w:cs="仿宋"/>
          <w:sz w:val="32"/>
          <w:szCs w:val="32"/>
        </w:rPr>
        <w:t>对文化、文物、新闻出版、广播电视、电影、旅游、体育、版权等领域开展行政执法检查工作。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4.检查方式：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  分级分类监管：强化基于“风险+信用”的分级分类管理，在体育场所、电影放映经营场所、印刷企业、网络文化企业、旅行社等领域实施差异化精准检查。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  跨部门综合监管：在歌舞娱乐场所、游艺娱乐场所、剧本娱乐场所、互联网上网服务经营场所、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星级酒店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旅游</w:t>
      </w:r>
      <w:r>
        <w:rPr>
          <w:rFonts w:hint="eastAsia" w:ascii="仿宋" w:hAnsi="仿宋" w:eastAsia="仿宋" w:cs="仿宋"/>
          <w:sz w:val="32"/>
          <w:szCs w:val="32"/>
        </w:rPr>
        <w:t>民宿、不可移动文物等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个场所领域实施跨部门综合监管。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  “互联网+监管”：持续加强对线上涉嫌违法违规线索的核查研判，提高问题发现率。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  联合检查：除通过投诉举报、线索转办、上级交办等途径发生的“触发式检查”外，在以下领域开展有计划的跨部门联合抽查：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一是“营业性演出举办单位”；二是“旅行社”。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  专项检查：结合文化市场实际情况，按照文旅部等上级部门相关文件要求，拟在2026年开展下列行动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  （1）文化市场专项整治行动；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  （2）旅游市场秩序整治行动；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  （3）其他市场领域专项行动。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  其他：对通过投诉举报、线索转办、上级交办等途径发现的违法违规个案线索，要按照“触发式检查”要求开展。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5.检查比例</w:t>
      </w:r>
      <w:r>
        <w:rPr>
          <w:rFonts w:hint="eastAsia" w:ascii="仿宋" w:hAnsi="仿宋" w:eastAsia="仿宋" w:cs="仿宋"/>
          <w:sz w:val="32"/>
          <w:szCs w:val="32"/>
        </w:rPr>
        <w:t>：原则上根据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我市涉企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行政执法事项标准开展行政检查工作。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  三、工作要求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1.强化贯彻执行。</w:t>
      </w:r>
      <w:r>
        <w:rPr>
          <w:rFonts w:hint="eastAsia" w:ascii="仿宋" w:hAnsi="仿宋" w:eastAsia="仿宋" w:cs="仿宋"/>
          <w:sz w:val="32"/>
          <w:szCs w:val="32"/>
        </w:rPr>
        <w:t>根据上级部门相关工作要求，强化对年度行政检查计划的制定及运用，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按照程序申领行政检查计划编码，作为开展日常执法检查的依据。</w:t>
      </w:r>
      <w:r>
        <w:rPr>
          <w:rFonts w:hint="eastAsia" w:ascii="仿宋" w:hAnsi="仿宋" w:eastAsia="仿宋" w:cs="仿宋"/>
          <w:sz w:val="32"/>
          <w:szCs w:val="32"/>
        </w:rPr>
        <w:t>市文化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旅游局加强统筹指导，提高本市文化市场执法检查工作的科学性和规范性。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2.强化综合监管。</w:t>
      </w:r>
      <w:r>
        <w:rPr>
          <w:rFonts w:hint="eastAsia" w:ascii="仿宋" w:hAnsi="仿宋" w:eastAsia="仿宋" w:cs="仿宋"/>
          <w:sz w:val="32"/>
          <w:szCs w:val="32"/>
        </w:rPr>
        <w:t>对同一检查对象实施跨领域的多项检查的，原则上应当采取集成执法方式合并一次进行。积极开展跨部门联合检查，对本市跨部门综合监管重点行业领域，根据跨部门综合监管联合检查计划有序推进。加强与其他行政管理部门的工作衔接，形成上下贯通、全链条监管的工作格局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3.强化技术赋能。</w:t>
      </w:r>
      <w:r>
        <w:rPr>
          <w:rFonts w:hint="eastAsia" w:ascii="仿宋" w:hAnsi="仿宋" w:eastAsia="仿宋" w:cs="仿宋"/>
          <w:sz w:val="32"/>
          <w:szCs w:val="32"/>
        </w:rPr>
        <w:t>综合运用大数据、人工智能等手段，主动发现和识别违法违规线索，拓展“非现场检查”应用场景，丰富“无感监管”技术手段，通过技术赋能减少现场检查。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  <w:r>
        <w:rPr>
          <w:rFonts w:hint="eastAsia" w:ascii="楷体" w:hAnsi="楷体" w:eastAsia="楷体" w:cs="楷体"/>
          <w:sz w:val="32"/>
          <w:szCs w:val="32"/>
        </w:rPr>
        <w:t>4.明确上限频次。</w:t>
      </w:r>
      <w:r>
        <w:rPr>
          <w:rFonts w:hint="eastAsia" w:ascii="仿宋" w:hAnsi="仿宋" w:eastAsia="仿宋" w:cs="仿宋"/>
          <w:sz w:val="32"/>
          <w:szCs w:val="32"/>
        </w:rPr>
        <w:t>本市文化市场领域，原则上对同一经营主体，根据经营主体风险等级，一个年度周期内最多实施12次行政执法检查。因投诉举报、转办交办、数据监测等情形确需检查或者经营主体申请实施检查的，可以不受频次上限限制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天门</w:t>
      </w:r>
      <w:r>
        <w:rPr>
          <w:rFonts w:hint="eastAsia" w:ascii="仿宋" w:hAnsi="仿宋" w:eastAsia="仿宋" w:cs="仿宋"/>
          <w:sz w:val="32"/>
          <w:szCs w:val="32"/>
        </w:rPr>
        <w:t>市文化和旅游局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  2026年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WYyYzhjYzA5MTIwNDFlZjNiYzI2NGQzNWFkZDcifQ=="/>
  </w:docVars>
  <w:rsids>
    <w:rsidRoot w:val="4B322EE3"/>
    <w:rsid w:val="07BE1E2B"/>
    <w:rsid w:val="0ABE2142"/>
    <w:rsid w:val="0B4E6BEB"/>
    <w:rsid w:val="175207E1"/>
    <w:rsid w:val="196F11D7"/>
    <w:rsid w:val="19A30E80"/>
    <w:rsid w:val="19C52ADD"/>
    <w:rsid w:val="19F33BB6"/>
    <w:rsid w:val="19F416DC"/>
    <w:rsid w:val="1B6F1962"/>
    <w:rsid w:val="1D905BC0"/>
    <w:rsid w:val="206550E2"/>
    <w:rsid w:val="218C669E"/>
    <w:rsid w:val="32B67A1F"/>
    <w:rsid w:val="365F1233"/>
    <w:rsid w:val="37A662B4"/>
    <w:rsid w:val="38B4055C"/>
    <w:rsid w:val="397321C6"/>
    <w:rsid w:val="3C335C3C"/>
    <w:rsid w:val="3F285800"/>
    <w:rsid w:val="402661E4"/>
    <w:rsid w:val="4171348E"/>
    <w:rsid w:val="47024B89"/>
    <w:rsid w:val="4803505C"/>
    <w:rsid w:val="4B322EE3"/>
    <w:rsid w:val="58E95BA9"/>
    <w:rsid w:val="5D79574D"/>
    <w:rsid w:val="65D200F0"/>
    <w:rsid w:val="68FE11FC"/>
    <w:rsid w:val="6D9E4D5C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1166</Characters>
  <Lines>0</Lines>
  <Paragraphs>0</Paragraphs>
  <TotalTime>394</TotalTime>
  <ScaleCrop>false</ScaleCrop>
  <LinksUpToDate>false</LinksUpToDate>
  <CharactersWithSpaces>1166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2026-04-13T03:01:00Z</dcterms:created>
  <dc:creator>梦马</dc:creator>
  <cp:lastModifiedBy>梦马</cp:lastModifiedBy>
  <dcterms:modified xsi:type="dcterms:W3CDTF">2026-04-15T01:30:50Z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E4F8F13925BD43C2911B7A80D5AFD39A_11</vt:lpwstr>
  </property>
</Properties>
</file>